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val="en-US" w:eastAsia="zh-CN"/>
        </w:rPr>
      </w:pPr>
      <w:r>
        <w:rPr>
          <w:rFonts w:hint="eastAsia"/>
          <w:lang w:val="en-US" w:eastAsia="zh-CN"/>
        </w:rPr>
        <w:t>ZGF-120KV2mA直流高压发生器操作及技术指标</w:t>
      </w:r>
      <w:bookmarkStart w:id="0" w:name="_GoBack"/>
      <w:bookmarkEnd w:id="0"/>
      <w:r>
        <w:rPr>
          <w:rFonts w:hint="eastAsia"/>
          <w:lang w:val="en-US" w:eastAsia="zh-CN"/>
        </w:rPr>
        <w:br w:type="textWrapping"/>
      </w:r>
    </w:p>
    <w:p>
      <w:pPr>
        <w:rPr>
          <w:rFonts w:hint="eastAsia"/>
          <w:lang w:val="en-US" w:eastAsia="zh-CN"/>
        </w:rPr>
      </w:pPr>
      <w:r>
        <w:rPr>
          <w:rFonts w:hint="eastAsia"/>
          <w:lang w:val="en-US" w:eastAsia="zh-CN"/>
        </w:rPr>
        <w:t>控制箱上的显示灯、开关、旋钮等已标清楚，看此操作说明时请参照控制箱的面板上元器件名称使用。</w:t>
      </w:r>
    </w:p>
    <w:p>
      <w:pPr>
        <w:rPr>
          <w:rFonts w:hint="eastAsia"/>
          <w:lang w:val="en-US" w:eastAsia="zh-CN"/>
        </w:rPr>
      </w:pPr>
      <w:r>
        <w:rPr>
          <w:rFonts w:hint="eastAsia"/>
          <w:lang w:val="en-US" w:eastAsia="zh-CN"/>
        </w:rPr>
        <w:t>高压塔底盘侧面有七芯插座为联接控制箱电缆之插座，底盘侧面有铜接线柱为接地端子作连接地线用。</w:t>
      </w:r>
    </w:p>
    <w:p>
      <w:pPr>
        <w:rPr>
          <w:rFonts w:hint="eastAsia"/>
          <w:lang w:val="en-US" w:eastAsia="zh-CN"/>
        </w:rPr>
      </w:pPr>
      <w:r>
        <w:rPr>
          <w:rFonts w:hint="eastAsia"/>
          <w:lang w:val="en-US" w:eastAsia="zh-CN"/>
        </w:rPr>
        <w:t>随附有高压屏蔽电流表为数显微安表，表顶端上的插孔为连接被试品的线插孔，同时也作为电源开关，不用时请拔掉插头，就自动关闭电源。换电池时请将上盖镙丝打开，换好后请扣好盖用镙丝拧紧。扁园表换电池时打开后盖。  </w:t>
      </w:r>
      <w:r>
        <w:rPr>
          <w:rFonts w:hint="eastAsia"/>
          <w:lang w:val="en-US" w:eastAsia="zh-CN"/>
        </w:rPr>
        <w:br w:type="textWrapping"/>
      </w:r>
    </w:p>
    <w:p>
      <w:pPr>
        <w:rPr>
          <w:rFonts w:hint="eastAsia"/>
          <w:lang w:val="en-US" w:eastAsia="zh-CN"/>
        </w:rPr>
      </w:pPr>
      <w:r>
        <w:rPr>
          <w:rFonts w:hint="eastAsia"/>
          <w:lang w:val="en-US" w:eastAsia="zh-CN"/>
        </w:rPr>
        <w:t>1、将控制箱面板上的接地端子与高压塔的接地接线柱用接地线连接在一起并与现场或试验室的地线接牢。为保证您与设备的安全，请务必反复检查地线，确保各部接地良好。</w:t>
      </w:r>
    </w:p>
    <w:p>
      <w:pPr>
        <w:rPr>
          <w:rFonts w:hint="eastAsia"/>
          <w:lang w:val="en-US" w:eastAsia="zh-CN"/>
        </w:rPr>
      </w:pPr>
    </w:p>
    <w:p>
      <w:pPr>
        <w:rPr>
          <w:rFonts w:hint="eastAsia"/>
          <w:lang w:val="en-US" w:eastAsia="zh-CN"/>
        </w:rPr>
      </w:pPr>
      <w:r>
        <w:rPr>
          <w:rFonts w:hint="eastAsia"/>
          <w:lang w:val="en-US" w:eastAsia="zh-CN"/>
        </w:rPr>
        <w:t>用提供的七芯电缆连接控制箱与高压塔，电缆两端为同样的快速航空插头，注意用插头侧面豁口对准插座内侧粗凸部分插入并顺时针拧紧。（可用电缆任一端连接控制箱或高压塔）接好电源线，电源为单项交流220V，工频50HZ。</w:t>
      </w:r>
    </w:p>
    <w:p>
      <w:pPr>
        <w:rPr>
          <w:rFonts w:hint="eastAsia"/>
          <w:lang w:val="en-US" w:eastAsia="zh-CN"/>
        </w:rPr>
      </w:pPr>
      <w:r>
        <w:rPr>
          <w:rFonts w:hint="eastAsia"/>
          <w:lang w:val="en-US" w:eastAsia="zh-CN"/>
        </w:rPr>
        <w:br w:type="textWrapping"/>
      </w:r>
      <w:r>
        <w:rPr>
          <w:rFonts w:hint="eastAsia"/>
          <w:lang w:val="en-US" w:eastAsia="zh-CN"/>
        </w:rPr>
        <w:t>2、打开电源开关，此时电源开关灯（绿）和面板表亮。则高压指示灯（绿）亮，如高压提示蜂鸣器处在开的位置，则鸣叫以提示操作者在加高压，此时，顺时针旋转高压输出调节钮，则升高压，电压表显示为负载试品上的电压KV值，电流表则显示试品上流过的电流与所有泄漏电流之和，但不包括内置高压分压器的电流。电流以微安单位UA值。</w:t>
      </w:r>
    </w:p>
    <w:p>
      <w:pPr>
        <w:rPr>
          <w:rFonts w:hint="eastAsia"/>
          <w:lang w:val="en-US" w:eastAsia="zh-CN"/>
        </w:rPr>
      </w:pPr>
      <w:r>
        <w:rPr>
          <w:rFonts w:hint="eastAsia"/>
          <w:lang w:val="en-US" w:eastAsia="zh-CN"/>
        </w:rPr>
        <w:t>如果打开电源开关，高压显示灯（绿）不亮，且故障显示中"回零"灯（红）亮时、则表示高压输出调节钮未在零位上，请逆时针旋转此钮至"零位"上，并将微调电压旋钮回到零位上，些"回零"灯灭，再顺时针调节即可升压。</w:t>
      </w:r>
    </w:p>
    <w:p>
      <w:pPr>
        <w:rPr>
          <w:rFonts w:hint="eastAsia"/>
          <w:lang w:val="en-US" w:eastAsia="zh-CN"/>
        </w:rPr>
      </w:pPr>
      <w:r>
        <w:rPr>
          <w:rFonts w:hint="eastAsia"/>
          <w:lang w:val="en-US" w:eastAsia="zh-CN"/>
        </w:rPr>
        <w:br w:type="textWrapping"/>
      </w:r>
      <w:r>
        <w:rPr>
          <w:rFonts w:hint="eastAsia"/>
          <w:lang w:val="en-US" w:eastAsia="zh-CN"/>
        </w:rPr>
        <w:t>3、若不需要额定输出电压范围内的调压保护时，要把过压保护整定钮顺时针旋至zui大值。此时，当输出电压超过额定输出电压时即自动保护，120KV/2mA直流高压发生器/ZGF-2000切断高压。若要求在额定输出电压范围内进行调压保护时，请空载升压按以上步骤升压到预定的保护电压上，再将过压保护整定旋钮慢慢逆时针旋转到所需要的电压上，作过压保护动作，"过压"指示灯亮，保持过压保护整定旋钮就定于此位置上，将升压旋钮回到零位上，关闭电源。接上试品，则以后升压超过预定电压时即自动切断高压。</w:t>
      </w:r>
    </w:p>
    <w:p>
      <w:pPr>
        <w:rPr>
          <w:rFonts w:hint="eastAsia"/>
          <w:lang w:val="en-US" w:eastAsia="zh-CN"/>
        </w:rPr>
      </w:pPr>
    </w:p>
    <w:p>
      <w:pPr>
        <w:rPr>
          <w:rFonts w:hint="eastAsia"/>
          <w:lang w:val="en-US" w:eastAsia="zh-CN"/>
        </w:rPr>
      </w:pPr>
      <w:r>
        <w:rPr>
          <w:rFonts w:hint="eastAsia"/>
          <w:lang w:val="en-US" w:eastAsia="zh-CN"/>
        </w:rPr>
        <w:t>4、当发生过压、过流等故障时，高压自动切断，高压显示灯（绿）灭，蜂呜器停止鸣叫，相应故障指示灯亮，说明试品已短路，若要重新启动时，应将高压输出调整钮回零位上，微调旋钮同样在零位上，再关电源开关，然后再打开电源开关，才能切除保护重新升压。</w:t>
      </w:r>
    </w:p>
    <w:p>
      <w:pPr>
        <w:rPr>
          <w:rFonts w:hint="eastAsia"/>
          <w:lang w:val="en-US" w:eastAsia="zh-CN"/>
        </w:rPr>
      </w:pPr>
      <w:r>
        <w:rPr>
          <w:rFonts w:hint="eastAsia"/>
          <w:lang w:val="en-US" w:eastAsia="zh-CN"/>
        </w:rPr>
        <w:t>●正常工作关机时，应先将高压调整旋钮逆时针回到零位上，再将</w:t>
      </w:r>
    </w:p>
    <w:p>
      <w:pPr>
        <w:rPr>
          <w:rFonts w:hint="eastAsia"/>
          <w:lang w:val="en-US" w:eastAsia="zh-CN"/>
        </w:rPr>
      </w:pPr>
      <w:r>
        <w:rPr>
          <w:rFonts w:hint="eastAsia"/>
          <w:lang w:val="en-US" w:eastAsia="zh-CN"/>
        </w:rPr>
        <w:t>微调电压旋钮回到零位上，zui后关电源开关。</w:t>
      </w:r>
    </w:p>
    <w:p>
      <w:pPr>
        <w:rPr>
          <w:rFonts w:hint="eastAsia"/>
          <w:lang w:val="en-US" w:eastAsia="zh-CN"/>
        </w:rPr>
      </w:pPr>
      <w:r>
        <w:rPr>
          <w:rFonts w:hint="eastAsia"/>
          <w:lang w:val="en-US" w:eastAsia="zh-CN"/>
        </w:rPr>
        <w:t>●电源开关兼用于保护重置开关，故当故障显示灯（回零显示灯除外）亮后应关闭电源开关再打开才能解除保护，重新升压。</w:t>
      </w:r>
    </w:p>
    <w:p>
      <w:pPr>
        <w:rPr>
          <w:rFonts w:hint="eastAsia"/>
          <w:lang w:val="en-US" w:eastAsia="zh-CN"/>
        </w:rPr>
      </w:pPr>
    </w:p>
    <w:p>
      <w:pPr>
        <w:rPr>
          <w:rFonts w:hint="eastAsia"/>
          <w:lang w:val="en-US" w:eastAsia="zh-CN"/>
        </w:rPr>
      </w:pPr>
      <w:r>
        <w:rPr>
          <w:rFonts w:hint="eastAsia"/>
          <w:lang w:val="en-US" w:eastAsia="zh-CN"/>
        </w:rPr>
        <w:t>5、负载为大容性负载时，为避免充电电流过大而触发过流保护，请适当放慢升压速度。试验完毕后，将输出电压调整钮逆时针旋至零位上，此时电压表仍显示试品上的电压值，请等试品通过高压塔放电至20KV以下时再用接地棒放电，以确保安全。</w:t>
      </w:r>
      <w:r>
        <w:rPr>
          <w:rFonts w:hint="eastAsia"/>
          <w:lang w:val="en-US" w:eastAsia="zh-CN"/>
        </w:rPr>
        <w:br w:type="textWrapping"/>
      </w:r>
    </w:p>
    <w:p>
      <w:pPr>
        <w:rPr>
          <w:rFonts w:hint="eastAsia"/>
          <w:lang w:val="en-US" w:eastAsia="zh-CN"/>
        </w:rPr>
      </w:pPr>
      <w:r>
        <w:rPr>
          <w:rFonts w:hint="eastAsia"/>
          <w:lang w:val="en-US" w:eastAsia="zh-CN"/>
        </w:rPr>
        <w:t>技术指标</w:t>
      </w:r>
      <w:r>
        <w:rPr>
          <w:rFonts w:hint="eastAsia"/>
          <w:lang w:val="en-US" w:eastAsia="zh-CN"/>
        </w:rPr>
        <w:br w:type="textWrapping"/>
      </w:r>
    </w:p>
    <w:tbl>
      <w:tblPr>
        <w:tblStyle w:val="11"/>
        <w:tblW w:w="87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7"/>
        <w:gridCol w:w="871"/>
        <w:gridCol w:w="900"/>
        <w:gridCol w:w="900"/>
        <w:gridCol w:w="900"/>
        <w:gridCol w:w="900"/>
        <w:gridCol w:w="90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5" w:hRule="atLeast"/>
        </w:trPr>
        <w:tc>
          <w:tcPr>
            <w:tcW w:w="1577" w:type="dxa"/>
            <w:tcBorders>
              <w:tl2br w:val="single" w:color="auto" w:sz="4" w:space="0"/>
            </w:tcBorders>
            <w:vAlign w:val="top"/>
          </w:tcPr>
          <w:p>
            <w:pPr>
              <w:spacing w:line="360" w:lineRule="auto"/>
              <w:ind w:firstLine="630" w:firstLineChars="300"/>
              <w:rPr>
                <w:rFonts w:hint="eastAsia"/>
              </w:rPr>
            </w:pPr>
            <w:r>
              <w:rPr>
                <w:rFonts w:hint="eastAsia"/>
              </w:rPr>
              <w:t>规格</w:t>
            </w:r>
          </w:p>
          <w:p>
            <w:pPr>
              <w:spacing w:line="360" w:lineRule="auto"/>
              <w:rPr>
                <w:rFonts w:hint="eastAsia"/>
              </w:rPr>
            </w:pPr>
            <w:r>
              <w:rPr>
                <w:rFonts w:hint="eastAsia"/>
              </w:rPr>
              <w:t>技术参数</w:t>
            </w:r>
          </w:p>
        </w:tc>
        <w:tc>
          <w:tcPr>
            <w:tcW w:w="871" w:type="dxa"/>
            <w:vAlign w:val="center"/>
          </w:tcPr>
          <w:p>
            <w:pPr>
              <w:spacing w:line="360" w:lineRule="auto"/>
              <w:jc w:val="center"/>
              <w:rPr>
                <w:rFonts w:hint="eastAsia"/>
              </w:rPr>
            </w:pPr>
            <w:r>
              <w:rPr>
                <w:rFonts w:hint="eastAsia"/>
              </w:rPr>
              <w:t>60/2</w:t>
            </w:r>
          </w:p>
        </w:tc>
        <w:tc>
          <w:tcPr>
            <w:tcW w:w="900" w:type="dxa"/>
            <w:vAlign w:val="center"/>
          </w:tcPr>
          <w:p>
            <w:pPr>
              <w:spacing w:line="360" w:lineRule="auto"/>
              <w:jc w:val="center"/>
              <w:rPr>
                <w:rFonts w:hint="eastAsia"/>
              </w:rPr>
            </w:pPr>
            <w:r>
              <w:rPr>
                <w:rFonts w:hint="eastAsia"/>
              </w:rPr>
              <w:t>60/5</w:t>
            </w:r>
          </w:p>
        </w:tc>
        <w:tc>
          <w:tcPr>
            <w:tcW w:w="900" w:type="dxa"/>
            <w:vAlign w:val="center"/>
          </w:tcPr>
          <w:p>
            <w:pPr>
              <w:spacing w:line="360" w:lineRule="auto"/>
              <w:jc w:val="center"/>
              <w:rPr>
                <w:rFonts w:hint="eastAsia"/>
              </w:rPr>
            </w:pPr>
            <w:r>
              <w:rPr>
                <w:rFonts w:hint="eastAsia"/>
              </w:rPr>
              <w:t>120/2</w:t>
            </w:r>
          </w:p>
        </w:tc>
        <w:tc>
          <w:tcPr>
            <w:tcW w:w="900" w:type="dxa"/>
            <w:vAlign w:val="center"/>
          </w:tcPr>
          <w:p>
            <w:pPr>
              <w:spacing w:line="360" w:lineRule="auto"/>
              <w:jc w:val="center"/>
              <w:rPr>
                <w:rFonts w:hint="eastAsia"/>
              </w:rPr>
            </w:pPr>
            <w:r>
              <w:rPr>
                <w:rFonts w:hint="eastAsia"/>
              </w:rPr>
              <w:t>120/5</w:t>
            </w:r>
          </w:p>
        </w:tc>
        <w:tc>
          <w:tcPr>
            <w:tcW w:w="900" w:type="dxa"/>
            <w:vAlign w:val="center"/>
          </w:tcPr>
          <w:p>
            <w:pPr>
              <w:spacing w:line="360" w:lineRule="auto"/>
              <w:jc w:val="center"/>
              <w:rPr>
                <w:rFonts w:hint="eastAsia"/>
              </w:rPr>
            </w:pPr>
            <w:r>
              <w:rPr>
                <w:rFonts w:hint="eastAsia"/>
              </w:rPr>
              <w:t>120/10</w:t>
            </w:r>
          </w:p>
        </w:tc>
        <w:tc>
          <w:tcPr>
            <w:tcW w:w="900" w:type="dxa"/>
            <w:vAlign w:val="center"/>
          </w:tcPr>
          <w:p>
            <w:pPr>
              <w:spacing w:line="360" w:lineRule="auto"/>
              <w:jc w:val="center"/>
              <w:rPr>
                <w:rFonts w:hint="eastAsia"/>
              </w:rPr>
            </w:pPr>
            <w:r>
              <w:rPr>
                <w:rFonts w:hint="eastAsia"/>
              </w:rPr>
              <w:t>200/3</w:t>
            </w:r>
          </w:p>
        </w:tc>
        <w:tc>
          <w:tcPr>
            <w:tcW w:w="900" w:type="dxa"/>
            <w:vAlign w:val="center"/>
          </w:tcPr>
          <w:p>
            <w:pPr>
              <w:spacing w:line="360" w:lineRule="auto"/>
              <w:jc w:val="center"/>
              <w:rPr>
                <w:rFonts w:hint="eastAsia"/>
                <w:sz w:val="18"/>
              </w:rPr>
            </w:pPr>
            <w:r>
              <w:rPr>
                <w:rFonts w:hint="eastAsia"/>
              </w:rPr>
              <w:t>300/2</w:t>
            </w:r>
          </w:p>
        </w:tc>
        <w:tc>
          <w:tcPr>
            <w:tcW w:w="900" w:type="dxa"/>
            <w:vAlign w:val="top"/>
          </w:tcPr>
          <w:p>
            <w:pPr>
              <w:spacing w:line="360" w:lineRule="auto"/>
              <w:rPr>
                <w:rFonts w:hint="eastAsia"/>
              </w:rPr>
            </w:pPr>
            <w:r>
              <w:rPr>
                <w:rFonts w:hint="eastAsia"/>
              </w:rPr>
              <w:t>其它</w:t>
            </w:r>
          </w:p>
          <w:p>
            <w:pPr>
              <w:spacing w:line="360" w:lineRule="auto"/>
              <w:rPr>
                <w:rFonts w:hint="eastAsia"/>
              </w:rPr>
            </w:pPr>
            <w:r>
              <w:rPr>
                <w:rFonts w:hint="eastAsia"/>
              </w:rPr>
              <w:t>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2" w:hRule="atLeast"/>
        </w:trPr>
        <w:tc>
          <w:tcPr>
            <w:tcW w:w="1577" w:type="dxa"/>
            <w:vAlign w:val="top"/>
          </w:tcPr>
          <w:p>
            <w:pPr>
              <w:spacing w:line="360" w:lineRule="auto"/>
              <w:rPr>
                <w:rFonts w:hint="eastAsia"/>
              </w:rPr>
            </w:pPr>
            <w:r>
              <w:rPr>
                <w:rFonts w:hint="eastAsia"/>
              </w:rPr>
              <w:t>输出电压(kv)</w:t>
            </w:r>
          </w:p>
        </w:tc>
        <w:tc>
          <w:tcPr>
            <w:tcW w:w="871" w:type="dxa"/>
            <w:vAlign w:val="top"/>
          </w:tcPr>
          <w:p>
            <w:pPr>
              <w:spacing w:line="360" w:lineRule="auto"/>
              <w:jc w:val="center"/>
              <w:rPr>
                <w:rFonts w:hint="eastAsia"/>
              </w:rPr>
            </w:pPr>
            <w:r>
              <w:rPr>
                <w:rFonts w:hint="eastAsia"/>
              </w:rPr>
              <w:t>60</w:t>
            </w:r>
          </w:p>
        </w:tc>
        <w:tc>
          <w:tcPr>
            <w:tcW w:w="900" w:type="dxa"/>
            <w:vAlign w:val="top"/>
          </w:tcPr>
          <w:p>
            <w:pPr>
              <w:spacing w:line="360" w:lineRule="auto"/>
              <w:jc w:val="center"/>
              <w:rPr>
                <w:rFonts w:hint="eastAsia"/>
              </w:rPr>
            </w:pPr>
            <w:r>
              <w:rPr>
                <w:rFonts w:hint="eastAsia"/>
              </w:rPr>
              <w:t>60</w:t>
            </w:r>
          </w:p>
        </w:tc>
        <w:tc>
          <w:tcPr>
            <w:tcW w:w="900" w:type="dxa"/>
            <w:vAlign w:val="top"/>
          </w:tcPr>
          <w:p>
            <w:pPr>
              <w:spacing w:line="360" w:lineRule="auto"/>
              <w:jc w:val="center"/>
              <w:rPr>
                <w:rFonts w:hint="eastAsia"/>
              </w:rPr>
            </w:pPr>
            <w:r>
              <w:rPr>
                <w:rFonts w:hint="eastAsia"/>
              </w:rPr>
              <w:t>120</w:t>
            </w:r>
          </w:p>
        </w:tc>
        <w:tc>
          <w:tcPr>
            <w:tcW w:w="900" w:type="dxa"/>
            <w:vAlign w:val="top"/>
          </w:tcPr>
          <w:p>
            <w:pPr>
              <w:spacing w:line="360" w:lineRule="auto"/>
              <w:jc w:val="center"/>
              <w:rPr>
                <w:rFonts w:hint="eastAsia"/>
              </w:rPr>
            </w:pPr>
            <w:r>
              <w:rPr>
                <w:rFonts w:hint="eastAsia"/>
              </w:rPr>
              <w:t>120</w:t>
            </w:r>
          </w:p>
        </w:tc>
        <w:tc>
          <w:tcPr>
            <w:tcW w:w="900" w:type="dxa"/>
            <w:vAlign w:val="top"/>
          </w:tcPr>
          <w:p>
            <w:pPr>
              <w:spacing w:line="360" w:lineRule="auto"/>
              <w:jc w:val="center"/>
              <w:rPr>
                <w:rFonts w:hint="eastAsia"/>
              </w:rPr>
            </w:pPr>
            <w:r>
              <w:rPr>
                <w:rFonts w:hint="eastAsia"/>
              </w:rPr>
              <w:t>120</w:t>
            </w:r>
          </w:p>
        </w:tc>
        <w:tc>
          <w:tcPr>
            <w:tcW w:w="900" w:type="dxa"/>
            <w:vAlign w:val="top"/>
          </w:tcPr>
          <w:p>
            <w:pPr>
              <w:spacing w:line="360" w:lineRule="auto"/>
              <w:jc w:val="center"/>
              <w:rPr>
                <w:rFonts w:hint="eastAsia"/>
              </w:rPr>
            </w:pPr>
            <w:r>
              <w:rPr>
                <w:rFonts w:hint="eastAsia"/>
              </w:rPr>
              <w:t>200</w:t>
            </w:r>
          </w:p>
        </w:tc>
        <w:tc>
          <w:tcPr>
            <w:tcW w:w="900" w:type="dxa"/>
            <w:vAlign w:val="top"/>
          </w:tcPr>
          <w:p>
            <w:pPr>
              <w:spacing w:line="360" w:lineRule="auto"/>
              <w:jc w:val="center"/>
              <w:rPr>
                <w:rFonts w:hint="eastAsia"/>
                <w:sz w:val="18"/>
              </w:rPr>
            </w:pPr>
            <w:r>
              <w:rPr>
                <w:rFonts w:hint="eastAsia"/>
              </w:rPr>
              <w:t>300</w:t>
            </w:r>
          </w:p>
        </w:tc>
        <w:tc>
          <w:tcPr>
            <w:tcW w:w="900" w:type="dxa"/>
            <w:vMerge w:val="restart"/>
            <w:vAlign w:val="top"/>
          </w:tcPr>
          <w:p>
            <w:pPr>
              <w:spacing w:line="360" w:lineRule="auto"/>
              <w:rPr>
                <w:rFonts w:hint="eastAsia"/>
                <w:sz w:val="18"/>
              </w:rPr>
            </w:pPr>
          </w:p>
          <w:p>
            <w:pPr>
              <w:spacing w:line="360" w:lineRule="auto"/>
              <w:rPr>
                <w:rFonts w:hint="eastAsia"/>
                <w:sz w:val="18"/>
              </w:rPr>
            </w:pPr>
            <w:r>
              <w:rPr>
                <w:rFonts w:hint="eastAsia"/>
                <w:sz w:val="18"/>
              </w:rPr>
              <w:t>600～800kv</w:t>
            </w:r>
          </w:p>
          <w:p>
            <w:pPr>
              <w:spacing w:line="360" w:lineRule="auto"/>
              <w:rPr>
                <w:rFonts w:hint="eastAsia"/>
              </w:rPr>
            </w:pPr>
            <w:r>
              <w:rPr>
                <w:rFonts w:hint="eastAsia"/>
                <w:sz w:val="18"/>
              </w:rPr>
              <w:t>等合同订做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53" w:hRule="atLeast"/>
        </w:trPr>
        <w:tc>
          <w:tcPr>
            <w:tcW w:w="1577" w:type="dxa"/>
            <w:vAlign w:val="top"/>
          </w:tcPr>
          <w:p>
            <w:pPr>
              <w:spacing w:line="360" w:lineRule="auto"/>
              <w:rPr>
                <w:rFonts w:hint="eastAsia"/>
              </w:rPr>
            </w:pPr>
            <w:r>
              <w:rPr>
                <w:rFonts w:hint="eastAsia"/>
              </w:rPr>
              <w:t>输出电流(mA)</w:t>
            </w:r>
          </w:p>
        </w:tc>
        <w:tc>
          <w:tcPr>
            <w:tcW w:w="871" w:type="dxa"/>
            <w:vAlign w:val="top"/>
          </w:tcPr>
          <w:p>
            <w:pPr>
              <w:spacing w:line="360" w:lineRule="auto"/>
              <w:jc w:val="center"/>
              <w:rPr>
                <w:rFonts w:hint="eastAsia"/>
              </w:rPr>
            </w:pPr>
            <w:r>
              <w:rPr>
                <w:rFonts w:hint="eastAsia"/>
              </w:rPr>
              <w:t>2</w:t>
            </w:r>
          </w:p>
        </w:tc>
        <w:tc>
          <w:tcPr>
            <w:tcW w:w="900" w:type="dxa"/>
            <w:vAlign w:val="top"/>
          </w:tcPr>
          <w:p>
            <w:pPr>
              <w:spacing w:line="360" w:lineRule="auto"/>
              <w:jc w:val="center"/>
              <w:rPr>
                <w:rFonts w:hint="eastAsia"/>
              </w:rPr>
            </w:pPr>
            <w:r>
              <w:rPr>
                <w:rFonts w:hint="eastAsia"/>
              </w:rPr>
              <w:t>5</w:t>
            </w:r>
          </w:p>
        </w:tc>
        <w:tc>
          <w:tcPr>
            <w:tcW w:w="900" w:type="dxa"/>
            <w:vAlign w:val="top"/>
          </w:tcPr>
          <w:p>
            <w:pPr>
              <w:spacing w:line="360" w:lineRule="auto"/>
              <w:jc w:val="center"/>
              <w:rPr>
                <w:rFonts w:hint="eastAsia"/>
              </w:rPr>
            </w:pPr>
            <w:r>
              <w:rPr>
                <w:rFonts w:hint="eastAsia"/>
              </w:rPr>
              <w:t>2</w:t>
            </w:r>
          </w:p>
        </w:tc>
        <w:tc>
          <w:tcPr>
            <w:tcW w:w="900" w:type="dxa"/>
            <w:vAlign w:val="top"/>
          </w:tcPr>
          <w:p>
            <w:pPr>
              <w:spacing w:line="360" w:lineRule="auto"/>
              <w:jc w:val="center"/>
              <w:rPr>
                <w:rFonts w:hint="eastAsia"/>
              </w:rPr>
            </w:pPr>
            <w:r>
              <w:rPr>
                <w:rFonts w:hint="eastAsia"/>
              </w:rPr>
              <w:t>5</w:t>
            </w:r>
          </w:p>
        </w:tc>
        <w:tc>
          <w:tcPr>
            <w:tcW w:w="900" w:type="dxa"/>
            <w:vAlign w:val="top"/>
          </w:tcPr>
          <w:p>
            <w:pPr>
              <w:spacing w:line="360" w:lineRule="auto"/>
              <w:jc w:val="center"/>
              <w:rPr>
                <w:rFonts w:hint="eastAsia"/>
              </w:rPr>
            </w:pPr>
            <w:r>
              <w:rPr>
                <w:rFonts w:hint="eastAsia"/>
              </w:rPr>
              <w:t>10</w:t>
            </w:r>
          </w:p>
        </w:tc>
        <w:tc>
          <w:tcPr>
            <w:tcW w:w="900" w:type="dxa"/>
            <w:vAlign w:val="top"/>
          </w:tcPr>
          <w:p>
            <w:pPr>
              <w:spacing w:line="360" w:lineRule="auto"/>
              <w:jc w:val="center"/>
              <w:rPr>
                <w:rFonts w:hint="eastAsia"/>
              </w:rPr>
            </w:pPr>
            <w:r>
              <w:rPr>
                <w:rFonts w:hint="eastAsia"/>
              </w:rPr>
              <w:t>3</w:t>
            </w:r>
          </w:p>
        </w:tc>
        <w:tc>
          <w:tcPr>
            <w:tcW w:w="900" w:type="dxa"/>
            <w:vAlign w:val="top"/>
          </w:tcPr>
          <w:p>
            <w:pPr>
              <w:spacing w:line="360" w:lineRule="auto"/>
              <w:jc w:val="center"/>
              <w:rPr>
                <w:rFonts w:hint="eastAsia"/>
              </w:rPr>
            </w:pPr>
            <w:r>
              <w:rPr>
                <w:rFonts w:hint="eastAsia"/>
              </w:rPr>
              <w:t>2</w:t>
            </w:r>
          </w:p>
        </w:tc>
        <w:tc>
          <w:tcPr>
            <w:tcW w:w="900" w:type="dxa"/>
            <w:vMerge w:val="continue"/>
            <w:vAlign w:val="top"/>
          </w:tcPr>
          <w:p>
            <w:pPr>
              <w:spacing w:line="360" w:lineRule="auto"/>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8" w:hRule="atLeast"/>
        </w:trPr>
        <w:tc>
          <w:tcPr>
            <w:tcW w:w="1577" w:type="dxa"/>
            <w:vAlign w:val="top"/>
          </w:tcPr>
          <w:p>
            <w:pPr>
              <w:spacing w:line="360" w:lineRule="auto"/>
              <w:rPr>
                <w:rFonts w:hint="eastAsia"/>
              </w:rPr>
            </w:pPr>
            <w:r>
              <w:rPr>
                <w:rFonts w:hint="eastAsia"/>
              </w:rPr>
              <w:t>机箱重量(kg)</w:t>
            </w:r>
          </w:p>
        </w:tc>
        <w:tc>
          <w:tcPr>
            <w:tcW w:w="871" w:type="dxa"/>
            <w:vAlign w:val="center"/>
          </w:tcPr>
          <w:p>
            <w:pPr>
              <w:spacing w:line="360" w:lineRule="auto"/>
              <w:jc w:val="center"/>
              <w:rPr>
                <w:rFonts w:hint="eastAsia"/>
              </w:rPr>
            </w:pPr>
            <w:r>
              <w:rPr>
                <w:rFonts w:hint="eastAsia"/>
              </w:rPr>
              <w:t>4.5</w:t>
            </w:r>
          </w:p>
        </w:tc>
        <w:tc>
          <w:tcPr>
            <w:tcW w:w="900" w:type="dxa"/>
            <w:vAlign w:val="center"/>
          </w:tcPr>
          <w:p>
            <w:pPr>
              <w:spacing w:line="360" w:lineRule="auto"/>
              <w:jc w:val="center"/>
              <w:rPr>
                <w:rFonts w:hint="eastAsia"/>
              </w:rPr>
            </w:pPr>
            <w:r>
              <w:rPr>
                <w:rFonts w:hint="eastAsia"/>
              </w:rPr>
              <w:t>4.5</w:t>
            </w:r>
          </w:p>
        </w:tc>
        <w:tc>
          <w:tcPr>
            <w:tcW w:w="900" w:type="dxa"/>
            <w:vAlign w:val="center"/>
          </w:tcPr>
          <w:p>
            <w:pPr>
              <w:spacing w:line="360" w:lineRule="auto"/>
              <w:jc w:val="center"/>
              <w:rPr>
                <w:rFonts w:hint="eastAsia"/>
              </w:rPr>
            </w:pPr>
            <w:r>
              <w:rPr>
                <w:rFonts w:hint="eastAsia"/>
              </w:rPr>
              <w:t>4.5</w:t>
            </w:r>
          </w:p>
        </w:tc>
        <w:tc>
          <w:tcPr>
            <w:tcW w:w="900" w:type="dxa"/>
            <w:vAlign w:val="center"/>
          </w:tcPr>
          <w:p>
            <w:pPr>
              <w:spacing w:line="360" w:lineRule="auto"/>
              <w:jc w:val="center"/>
              <w:rPr>
                <w:rFonts w:hint="eastAsia"/>
              </w:rPr>
            </w:pPr>
            <w:r>
              <w:rPr>
                <w:rFonts w:hint="eastAsia"/>
              </w:rPr>
              <w:t>4.5</w:t>
            </w:r>
          </w:p>
        </w:tc>
        <w:tc>
          <w:tcPr>
            <w:tcW w:w="900" w:type="dxa"/>
            <w:vAlign w:val="center"/>
          </w:tcPr>
          <w:p>
            <w:pPr>
              <w:spacing w:line="360" w:lineRule="auto"/>
              <w:jc w:val="center"/>
              <w:rPr>
                <w:rFonts w:hint="eastAsia"/>
              </w:rPr>
            </w:pPr>
            <w:r>
              <w:rPr>
                <w:rFonts w:hint="eastAsia"/>
              </w:rPr>
              <w:t>4.5</w:t>
            </w:r>
          </w:p>
        </w:tc>
        <w:tc>
          <w:tcPr>
            <w:tcW w:w="900" w:type="dxa"/>
            <w:vAlign w:val="center"/>
          </w:tcPr>
          <w:p>
            <w:pPr>
              <w:spacing w:line="360" w:lineRule="auto"/>
              <w:jc w:val="center"/>
              <w:rPr>
                <w:rFonts w:hint="eastAsia"/>
              </w:rPr>
            </w:pPr>
            <w:r>
              <w:rPr>
                <w:rFonts w:hint="eastAsia"/>
              </w:rPr>
              <w:t>4.5</w:t>
            </w:r>
          </w:p>
        </w:tc>
        <w:tc>
          <w:tcPr>
            <w:tcW w:w="900" w:type="dxa"/>
            <w:vAlign w:val="center"/>
          </w:tcPr>
          <w:p>
            <w:pPr>
              <w:spacing w:line="360" w:lineRule="auto"/>
              <w:jc w:val="center"/>
              <w:rPr>
                <w:rFonts w:hint="eastAsia"/>
              </w:rPr>
            </w:pPr>
            <w:r>
              <w:rPr>
                <w:rFonts w:hint="eastAsia"/>
              </w:rPr>
              <w:t>4.5</w:t>
            </w:r>
          </w:p>
        </w:tc>
        <w:tc>
          <w:tcPr>
            <w:tcW w:w="900" w:type="dxa"/>
            <w:vMerge w:val="continue"/>
            <w:vAlign w:val="center"/>
          </w:tcPr>
          <w:p>
            <w:pPr>
              <w:spacing w:line="360" w:lineRule="auto"/>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3" w:hRule="atLeast"/>
        </w:trPr>
        <w:tc>
          <w:tcPr>
            <w:tcW w:w="1577" w:type="dxa"/>
            <w:vAlign w:val="top"/>
          </w:tcPr>
          <w:p>
            <w:pPr>
              <w:spacing w:line="360" w:lineRule="auto"/>
              <w:rPr>
                <w:rFonts w:hint="eastAsia"/>
              </w:rPr>
            </w:pPr>
            <w:r>
              <w:rPr>
                <w:rFonts w:hint="eastAsia"/>
              </w:rPr>
              <w:t>倍压筒体积</w:t>
            </w:r>
          </w:p>
          <w:p>
            <w:pPr>
              <w:spacing w:line="360" w:lineRule="auto"/>
              <w:rPr>
                <w:rFonts w:hint="eastAsia"/>
              </w:rPr>
            </w:pPr>
            <w:r>
              <w:rPr>
                <w:rFonts w:hint="eastAsia"/>
              </w:rPr>
              <w:t>(mm)</w:t>
            </w:r>
          </w:p>
        </w:tc>
        <w:tc>
          <w:tcPr>
            <w:tcW w:w="871" w:type="dxa"/>
            <w:vAlign w:val="center"/>
          </w:tcPr>
          <w:p>
            <w:pPr>
              <w:spacing w:line="360" w:lineRule="auto"/>
              <w:jc w:val="center"/>
              <w:rPr>
                <w:rFonts w:hint="eastAsia"/>
                <w:sz w:val="18"/>
              </w:rPr>
            </w:pPr>
            <w:r>
              <w:rPr>
                <w:rFonts w:hint="eastAsia"/>
                <w:sz w:val="18"/>
              </w:rPr>
              <w:t>￠120×300</w:t>
            </w:r>
          </w:p>
        </w:tc>
        <w:tc>
          <w:tcPr>
            <w:tcW w:w="900" w:type="dxa"/>
            <w:vAlign w:val="center"/>
          </w:tcPr>
          <w:p>
            <w:pPr>
              <w:spacing w:line="360" w:lineRule="auto"/>
              <w:jc w:val="center"/>
              <w:rPr>
                <w:rFonts w:hint="eastAsia"/>
                <w:sz w:val="18"/>
              </w:rPr>
            </w:pPr>
            <w:r>
              <w:rPr>
                <w:rFonts w:hint="eastAsia"/>
                <w:sz w:val="18"/>
              </w:rPr>
              <w:t>￠120×300</w:t>
            </w:r>
          </w:p>
        </w:tc>
        <w:tc>
          <w:tcPr>
            <w:tcW w:w="900" w:type="dxa"/>
            <w:vAlign w:val="center"/>
          </w:tcPr>
          <w:p>
            <w:pPr>
              <w:spacing w:line="360" w:lineRule="auto"/>
              <w:jc w:val="center"/>
              <w:rPr>
                <w:rFonts w:hint="eastAsia"/>
                <w:sz w:val="18"/>
              </w:rPr>
            </w:pPr>
            <w:r>
              <w:rPr>
                <w:rFonts w:hint="eastAsia"/>
                <w:sz w:val="18"/>
              </w:rPr>
              <w:t>￠120×450</w:t>
            </w:r>
          </w:p>
        </w:tc>
        <w:tc>
          <w:tcPr>
            <w:tcW w:w="900" w:type="dxa"/>
            <w:vAlign w:val="center"/>
          </w:tcPr>
          <w:p>
            <w:pPr>
              <w:spacing w:line="360" w:lineRule="auto"/>
              <w:jc w:val="center"/>
              <w:rPr>
                <w:rFonts w:hint="eastAsia"/>
                <w:sz w:val="18"/>
              </w:rPr>
            </w:pPr>
            <w:r>
              <w:rPr>
                <w:rFonts w:hint="eastAsia"/>
                <w:sz w:val="18"/>
              </w:rPr>
              <w:t>￠120×450</w:t>
            </w:r>
          </w:p>
        </w:tc>
        <w:tc>
          <w:tcPr>
            <w:tcW w:w="900" w:type="dxa"/>
            <w:vAlign w:val="center"/>
          </w:tcPr>
          <w:p>
            <w:pPr>
              <w:spacing w:line="360" w:lineRule="auto"/>
              <w:jc w:val="center"/>
              <w:rPr>
                <w:rFonts w:hint="eastAsia"/>
                <w:sz w:val="18"/>
              </w:rPr>
            </w:pPr>
            <w:r>
              <w:rPr>
                <w:rFonts w:hint="eastAsia"/>
                <w:sz w:val="18"/>
              </w:rPr>
              <w:t>￠120×450</w:t>
            </w:r>
          </w:p>
        </w:tc>
        <w:tc>
          <w:tcPr>
            <w:tcW w:w="900" w:type="dxa"/>
            <w:vAlign w:val="center"/>
          </w:tcPr>
          <w:p>
            <w:pPr>
              <w:spacing w:line="360" w:lineRule="auto"/>
              <w:jc w:val="center"/>
              <w:rPr>
                <w:rFonts w:hint="eastAsia"/>
                <w:sz w:val="18"/>
              </w:rPr>
            </w:pPr>
            <w:r>
              <w:rPr>
                <w:rFonts w:hint="eastAsia"/>
                <w:sz w:val="18"/>
              </w:rPr>
              <w:t>￠148×730</w:t>
            </w:r>
          </w:p>
        </w:tc>
        <w:tc>
          <w:tcPr>
            <w:tcW w:w="900" w:type="dxa"/>
            <w:vAlign w:val="center"/>
          </w:tcPr>
          <w:p>
            <w:pPr>
              <w:spacing w:line="360" w:lineRule="auto"/>
              <w:jc w:val="center"/>
              <w:rPr>
                <w:rFonts w:hint="eastAsia"/>
                <w:sz w:val="18"/>
              </w:rPr>
            </w:pPr>
            <w:r>
              <w:rPr>
                <w:rFonts w:hint="eastAsia"/>
                <w:sz w:val="18"/>
              </w:rPr>
              <w:t>￠150×1100</w:t>
            </w:r>
          </w:p>
        </w:tc>
        <w:tc>
          <w:tcPr>
            <w:tcW w:w="900" w:type="dxa"/>
            <w:vMerge w:val="continue"/>
            <w:vAlign w:val="center"/>
          </w:tcPr>
          <w:p>
            <w:pPr>
              <w:spacing w:line="360" w:lineRule="auto"/>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rPr>
        <w:tc>
          <w:tcPr>
            <w:tcW w:w="1577" w:type="dxa"/>
            <w:vAlign w:val="top"/>
          </w:tcPr>
          <w:p>
            <w:pPr>
              <w:spacing w:line="360" w:lineRule="auto"/>
              <w:rPr>
                <w:rFonts w:hint="eastAsia"/>
              </w:rPr>
            </w:pPr>
            <w:r>
              <w:rPr>
                <w:rFonts w:hint="eastAsia"/>
              </w:rPr>
              <w:t>倍压重量(kg)</w:t>
            </w:r>
          </w:p>
        </w:tc>
        <w:tc>
          <w:tcPr>
            <w:tcW w:w="871" w:type="dxa"/>
            <w:vAlign w:val="center"/>
          </w:tcPr>
          <w:p>
            <w:pPr>
              <w:spacing w:line="360" w:lineRule="auto"/>
              <w:jc w:val="center"/>
              <w:rPr>
                <w:rFonts w:hint="eastAsia"/>
              </w:rPr>
            </w:pPr>
            <w:r>
              <w:rPr>
                <w:rFonts w:hint="eastAsia"/>
              </w:rPr>
              <w:t>4.2</w:t>
            </w:r>
          </w:p>
        </w:tc>
        <w:tc>
          <w:tcPr>
            <w:tcW w:w="900" w:type="dxa"/>
            <w:vAlign w:val="center"/>
          </w:tcPr>
          <w:p>
            <w:pPr>
              <w:spacing w:line="360" w:lineRule="auto"/>
              <w:jc w:val="center"/>
              <w:rPr>
                <w:rFonts w:hint="eastAsia"/>
              </w:rPr>
            </w:pPr>
            <w:r>
              <w:rPr>
                <w:rFonts w:hint="eastAsia"/>
              </w:rPr>
              <w:t>4.2</w:t>
            </w:r>
          </w:p>
        </w:tc>
        <w:tc>
          <w:tcPr>
            <w:tcW w:w="900" w:type="dxa"/>
            <w:vAlign w:val="center"/>
          </w:tcPr>
          <w:p>
            <w:pPr>
              <w:spacing w:line="360" w:lineRule="auto"/>
              <w:jc w:val="center"/>
              <w:rPr>
                <w:rFonts w:hint="eastAsia"/>
              </w:rPr>
            </w:pPr>
            <w:r>
              <w:rPr>
                <w:rFonts w:hint="eastAsia"/>
              </w:rPr>
              <w:t>5.5</w:t>
            </w:r>
          </w:p>
        </w:tc>
        <w:tc>
          <w:tcPr>
            <w:tcW w:w="900" w:type="dxa"/>
            <w:vAlign w:val="center"/>
          </w:tcPr>
          <w:p>
            <w:pPr>
              <w:spacing w:line="360" w:lineRule="auto"/>
              <w:jc w:val="center"/>
              <w:rPr>
                <w:rFonts w:hint="eastAsia"/>
              </w:rPr>
            </w:pPr>
            <w:r>
              <w:rPr>
                <w:rFonts w:hint="eastAsia"/>
              </w:rPr>
              <w:t>6</w:t>
            </w:r>
          </w:p>
        </w:tc>
        <w:tc>
          <w:tcPr>
            <w:tcW w:w="900" w:type="dxa"/>
            <w:vAlign w:val="center"/>
          </w:tcPr>
          <w:p>
            <w:pPr>
              <w:spacing w:line="360" w:lineRule="auto"/>
              <w:jc w:val="center"/>
              <w:rPr>
                <w:rFonts w:hint="eastAsia"/>
              </w:rPr>
            </w:pPr>
            <w:r>
              <w:rPr>
                <w:rFonts w:hint="eastAsia"/>
              </w:rPr>
              <w:t>11</w:t>
            </w:r>
          </w:p>
        </w:tc>
        <w:tc>
          <w:tcPr>
            <w:tcW w:w="900" w:type="dxa"/>
            <w:vAlign w:val="center"/>
          </w:tcPr>
          <w:p>
            <w:pPr>
              <w:spacing w:line="360" w:lineRule="auto"/>
              <w:jc w:val="center"/>
              <w:rPr>
                <w:rFonts w:hint="eastAsia"/>
              </w:rPr>
            </w:pPr>
            <w:r>
              <w:rPr>
                <w:rFonts w:hint="eastAsia"/>
              </w:rPr>
              <w:t>11</w:t>
            </w:r>
          </w:p>
        </w:tc>
        <w:tc>
          <w:tcPr>
            <w:tcW w:w="900" w:type="dxa"/>
            <w:vAlign w:val="center"/>
          </w:tcPr>
          <w:p>
            <w:pPr>
              <w:spacing w:line="360" w:lineRule="auto"/>
              <w:jc w:val="center"/>
              <w:rPr>
                <w:rFonts w:hint="eastAsia"/>
              </w:rPr>
            </w:pPr>
            <w:r>
              <w:rPr>
                <w:rFonts w:hint="eastAsia"/>
              </w:rPr>
              <w:t>20</w:t>
            </w:r>
          </w:p>
        </w:tc>
        <w:tc>
          <w:tcPr>
            <w:tcW w:w="900" w:type="dxa"/>
            <w:vMerge w:val="continue"/>
            <w:vAlign w:val="center"/>
          </w:tcPr>
          <w:p>
            <w:pPr>
              <w:spacing w:line="360" w:lineRule="auto"/>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8" w:hRule="atLeast"/>
        </w:trPr>
        <w:tc>
          <w:tcPr>
            <w:tcW w:w="1577" w:type="dxa"/>
            <w:vAlign w:val="top"/>
          </w:tcPr>
          <w:p>
            <w:pPr>
              <w:spacing w:line="360" w:lineRule="auto"/>
              <w:rPr>
                <w:rFonts w:hint="eastAsia"/>
              </w:rPr>
            </w:pPr>
            <w:r>
              <w:rPr>
                <w:rFonts w:hint="eastAsia"/>
              </w:rPr>
              <w:t>工作电源</w:t>
            </w:r>
          </w:p>
        </w:tc>
        <w:tc>
          <w:tcPr>
            <w:tcW w:w="7171" w:type="dxa"/>
            <w:gridSpan w:val="8"/>
            <w:vAlign w:val="center"/>
          </w:tcPr>
          <w:p>
            <w:pPr>
              <w:spacing w:line="360" w:lineRule="auto"/>
              <w:jc w:val="center"/>
              <w:rPr>
                <w:rFonts w:hint="eastAsia"/>
              </w:rPr>
            </w:pPr>
            <w:r>
              <w:rPr>
                <w:rFonts w:hint="eastAsia"/>
              </w:rPr>
              <w:t>AC220V±10%  50Hz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rPr>
        <w:tc>
          <w:tcPr>
            <w:tcW w:w="1577" w:type="dxa"/>
            <w:vAlign w:val="top"/>
          </w:tcPr>
          <w:p>
            <w:pPr>
              <w:spacing w:line="360" w:lineRule="auto"/>
              <w:rPr>
                <w:rFonts w:hint="eastAsia"/>
              </w:rPr>
            </w:pPr>
            <w:r>
              <w:rPr>
                <w:rFonts w:hint="eastAsia"/>
              </w:rPr>
              <w:t>测量误差</w:t>
            </w:r>
          </w:p>
        </w:tc>
        <w:tc>
          <w:tcPr>
            <w:tcW w:w="7171" w:type="dxa"/>
            <w:gridSpan w:val="8"/>
            <w:vAlign w:val="center"/>
          </w:tcPr>
          <w:p>
            <w:pPr>
              <w:spacing w:line="360" w:lineRule="auto"/>
              <w:jc w:val="center"/>
              <w:rPr>
                <w:rFonts w:hint="eastAsia"/>
              </w:rPr>
            </w:pPr>
            <w:r>
              <w:rPr>
                <w:rFonts w:hint="eastAsia"/>
              </w:rPr>
              <w:t>数字电压表：1.%±2个字，数字电流表：1.%±2个字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rPr>
        <w:tc>
          <w:tcPr>
            <w:tcW w:w="1577" w:type="dxa"/>
            <w:vAlign w:val="top"/>
          </w:tcPr>
          <w:p>
            <w:pPr>
              <w:spacing w:line="360" w:lineRule="auto"/>
              <w:rPr>
                <w:rFonts w:hint="eastAsia"/>
              </w:rPr>
            </w:pPr>
            <w:r>
              <w:rPr>
                <w:rFonts w:hint="eastAsia"/>
              </w:rPr>
              <w:t>纹波系数</w:t>
            </w:r>
          </w:p>
        </w:tc>
        <w:tc>
          <w:tcPr>
            <w:tcW w:w="7171" w:type="dxa"/>
            <w:gridSpan w:val="8"/>
            <w:vAlign w:val="center"/>
          </w:tcPr>
          <w:p>
            <w:pPr>
              <w:spacing w:line="360" w:lineRule="auto"/>
              <w:jc w:val="center"/>
              <w:rPr>
                <w:rFonts w:hint="eastAsia"/>
              </w:rPr>
            </w:pPr>
            <w:r>
              <w:rPr>
                <w:rFonts w:hint="eastAsia"/>
              </w:rPr>
              <w:t>≤1%（满度）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rPr>
        <w:tc>
          <w:tcPr>
            <w:tcW w:w="1577" w:type="dxa"/>
            <w:vAlign w:val="top"/>
          </w:tcPr>
          <w:p>
            <w:pPr>
              <w:spacing w:line="360" w:lineRule="auto"/>
              <w:rPr>
                <w:rFonts w:hint="eastAsia"/>
              </w:rPr>
            </w:pPr>
            <w:r>
              <w:rPr>
                <w:rFonts w:hint="eastAsia"/>
              </w:rPr>
              <w:t>稳定度</w:t>
            </w:r>
          </w:p>
        </w:tc>
        <w:tc>
          <w:tcPr>
            <w:tcW w:w="7171" w:type="dxa"/>
            <w:gridSpan w:val="8"/>
            <w:vAlign w:val="center"/>
          </w:tcPr>
          <w:p>
            <w:pPr>
              <w:spacing w:line="360" w:lineRule="auto"/>
              <w:jc w:val="center"/>
              <w:rPr>
                <w:rFonts w:hint="eastAsia"/>
              </w:rPr>
            </w:pPr>
            <w:r>
              <w:rPr>
                <w:rFonts w:hint="eastAsia"/>
              </w:rPr>
              <w:t>随机波动，电源电压变化±10%时≤1%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rPr>
        <w:tc>
          <w:tcPr>
            <w:tcW w:w="1577" w:type="dxa"/>
            <w:vAlign w:val="top"/>
          </w:tcPr>
          <w:p>
            <w:pPr>
              <w:spacing w:line="360" w:lineRule="auto"/>
              <w:rPr>
                <w:rFonts w:hint="eastAsia"/>
              </w:rPr>
            </w:pPr>
            <w:r>
              <w:rPr>
                <w:rFonts w:hint="eastAsia"/>
              </w:rPr>
              <w:t>工作方式</w:t>
            </w:r>
          </w:p>
        </w:tc>
        <w:tc>
          <w:tcPr>
            <w:tcW w:w="7171" w:type="dxa"/>
            <w:gridSpan w:val="8"/>
            <w:vAlign w:val="center"/>
          </w:tcPr>
          <w:p>
            <w:pPr>
              <w:spacing w:line="360" w:lineRule="auto"/>
              <w:jc w:val="center"/>
              <w:rPr>
                <w:rFonts w:hint="eastAsia"/>
              </w:rPr>
            </w:pPr>
            <w:r>
              <w:rPr>
                <w:rFonts w:hint="eastAsia"/>
              </w:rPr>
              <w:t xml:space="preserve">间断使用：额定负载60分钟；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rPr>
        <w:tc>
          <w:tcPr>
            <w:tcW w:w="1577" w:type="dxa"/>
            <w:vAlign w:val="top"/>
          </w:tcPr>
          <w:p>
            <w:pPr>
              <w:spacing w:line="360" w:lineRule="auto"/>
              <w:rPr>
                <w:rFonts w:hint="eastAsia"/>
              </w:rPr>
            </w:pPr>
            <w:r>
              <w:rPr>
                <w:rFonts w:hint="eastAsia"/>
              </w:rPr>
              <w:t>工作环境</w:t>
            </w:r>
          </w:p>
        </w:tc>
        <w:tc>
          <w:tcPr>
            <w:tcW w:w="7171" w:type="dxa"/>
            <w:gridSpan w:val="8"/>
            <w:vAlign w:val="center"/>
          </w:tcPr>
          <w:p>
            <w:pPr>
              <w:spacing w:line="360" w:lineRule="auto"/>
              <w:jc w:val="center"/>
              <w:rPr>
                <w:rFonts w:hint="eastAsia"/>
              </w:rPr>
            </w:pPr>
            <w:r>
              <w:rPr>
                <w:rFonts w:hint="eastAsia"/>
              </w:rPr>
              <w:t>环境温度-15℃～50℃，温度为25℃时,相对湿度90%(无凝露)</w:t>
            </w:r>
          </w:p>
          <w:p>
            <w:pPr>
              <w:spacing w:line="360" w:lineRule="auto"/>
              <w:jc w:val="center"/>
              <w:rPr>
                <w:rFonts w:hint="eastAsia"/>
              </w:rPr>
            </w:pPr>
            <w:r>
              <w:rPr>
                <w:rFonts w:hint="eastAsia"/>
              </w:rPr>
              <w:t xml:space="preserve"> 海拔高度2500米以下</w:t>
            </w:r>
          </w:p>
        </w:tc>
      </w:tr>
    </w:tbl>
    <w:p>
      <w:pPr>
        <w:rPr>
          <w:rFonts w:hint="eastAsia"/>
          <w:lang w:val="en-US" w:eastAsia="zh-CN"/>
        </w:rPr>
      </w:pPr>
    </w:p>
    <w:p>
      <w:pPr>
        <w:rPr>
          <w:rFonts w:hint="eastAsia"/>
          <w:lang w:val="en-US" w:eastAsia="zh-CN"/>
        </w:rPr>
      </w:pPr>
      <w:r>
        <w:rPr>
          <w:rFonts w:hint="eastAsia"/>
          <w:lang w:val="en-US" w:eastAsia="zh-CN"/>
        </w:rPr>
        <w:br w:type="textWrapping"/>
      </w:r>
      <w:r>
        <w:rPr>
          <w:rFonts w:hint="eastAsia" w:ascii="宋体" w:hAnsi="宋体" w:eastAsia="宋体" w:cs="宋体"/>
          <w:i w:val="0"/>
          <w:caps w:val="0"/>
          <w:color w:val="000000"/>
          <w:spacing w:val="0"/>
          <w:sz w:val="21"/>
          <w:szCs w:val="21"/>
        </w:rPr>
        <w:br w:type="textWrapping"/>
      </w:r>
      <w:r>
        <w:rPr>
          <w:rFonts w:ascii="sans serif" w:hAnsi="sans serif" w:eastAsia="sans serif" w:cs="sans serif"/>
          <w:i w:val="0"/>
          <w:caps w:val="0"/>
          <w:color w:val="000000"/>
          <w:spacing w:val="0"/>
          <w:sz w:val="18"/>
          <w:szCs w:val="18"/>
        </w:rPr>
        <w:t>尊敬的客户：感谢您关注我们的产品，本公司除了有此产品介绍以外，还有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"http://www.zhengyuandianqi.com/product/9003.html" </w:instrText>
      </w:r>
      <w:r>
        <w:rPr>
          <w:rFonts w:hint="default" w:ascii="sans serif" w:hAnsi="sans serif" w:eastAsia="sans serif" w:cs="sans serif"/>
          <w:i w:val="0"/>
          <w:caps w:val="0"/>
          <w:spacing w:val="0"/>
          <w:sz w:val="18"/>
          <w:szCs w:val="18"/>
        </w:rPr>
        <w:fldChar w:fldCharType="separate"/>
      </w:r>
      <w:r>
        <w:rPr>
          <w:rStyle w:val="10"/>
          <w:rFonts w:hint="default" w:ascii="sans serif" w:hAnsi="sans serif" w:eastAsia="sans serif" w:cs="sans serif"/>
          <w:i w:val="0"/>
          <w:caps w:val="0"/>
          <w:spacing w:val="0"/>
          <w:sz w:val="18"/>
          <w:szCs w:val="18"/>
          <w:u w:val="single"/>
        </w:rPr>
        <w:t>200A|100A|回路电阻测试仪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"http://www.zhengyuandianqi.com/product/read/641.html" </w:instrText>
      </w:r>
      <w:r>
        <w:rPr>
          <w:rFonts w:hint="default" w:ascii="sans serif" w:hAnsi="sans serif" w:eastAsia="sans serif" w:cs="sans serif"/>
          <w:i w:val="0"/>
          <w:caps w:val="0"/>
          <w:spacing w:val="0"/>
          <w:sz w:val="18"/>
          <w:szCs w:val="18"/>
        </w:rPr>
        <w:fldChar w:fldCharType="separate"/>
      </w:r>
      <w:r>
        <w:rPr>
          <w:rStyle w:val="10"/>
          <w:rFonts w:hint="default" w:ascii="sans serif" w:hAnsi="sans serif" w:eastAsia="sans serif" w:cs="sans serif"/>
          <w:i w:val="0"/>
          <w:caps w:val="0"/>
          <w:spacing w:val="0"/>
          <w:sz w:val="18"/>
          <w:szCs w:val="18"/>
          <w:u w:val="single"/>
        </w:rPr>
        <w:t>回路电阻检测仪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"http://www.zhengyuandianqi.com/product/9005.html" </w:instrText>
      </w:r>
      <w:r>
        <w:rPr>
          <w:rFonts w:hint="default" w:ascii="sans serif" w:hAnsi="sans serif" w:eastAsia="sans serif" w:cs="sans serif"/>
          <w:i w:val="0"/>
          <w:caps w:val="0"/>
          <w:spacing w:val="0"/>
          <w:sz w:val="18"/>
          <w:szCs w:val="18"/>
        </w:rPr>
        <w:fldChar w:fldCharType="separate"/>
      </w:r>
      <w:r>
        <w:rPr>
          <w:rStyle w:val="10"/>
          <w:rFonts w:hint="default" w:ascii="sans serif" w:hAnsi="sans serif" w:eastAsia="sans serif" w:cs="sans serif"/>
          <w:i w:val="0"/>
          <w:caps w:val="0"/>
          <w:spacing w:val="0"/>
          <w:sz w:val="18"/>
          <w:szCs w:val="18"/>
          <w:u w:val="single"/>
        </w:rPr>
        <w:t>超高压耐压检测仪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"http://www.zhengyuandianqi.com/product/9006.html" </w:instrText>
      </w:r>
      <w:r>
        <w:rPr>
          <w:rFonts w:hint="default" w:ascii="sans serif" w:hAnsi="sans serif" w:eastAsia="sans serif" w:cs="sans serif"/>
          <w:i w:val="0"/>
          <w:caps w:val="0"/>
          <w:spacing w:val="0"/>
          <w:sz w:val="18"/>
          <w:szCs w:val="18"/>
        </w:rPr>
        <w:fldChar w:fldCharType="separate"/>
      </w:r>
      <w:r>
        <w:rPr>
          <w:rStyle w:val="10"/>
          <w:rFonts w:hint="default" w:ascii="sans serif" w:hAnsi="sans serif" w:eastAsia="sans serif" w:cs="sans serif"/>
          <w:i w:val="0"/>
          <w:caps w:val="0"/>
          <w:spacing w:val="0"/>
          <w:sz w:val="18"/>
          <w:szCs w:val="18"/>
          <w:u w:val="single"/>
        </w:rPr>
        <w:t>互感器检测仪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"http://www.zhengyuandianqi.com/product/9019.html" </w:instrText>
      </w:r>
      <w:r>
        <w:rPr>
          <w:rFonts w:hint="default" w:ascii="sans serif" w:hAnsi="sans serif" w:eastAsia="sans serif" w:cs="sans serif"/>
          <w:i w:val="0"/>
          <w:caps w:val="0"/>
          <w:spacing w:val="0"/>
          <w:sz w:val="18"/>
          <w:szCs w:val="18"/>
        </w:rPr>
        <w:fldChar w:fldCharType="separate"/>
      </w:r>
      <w:r>
        <w:rPr>
          <w:rStyle w:val="10"/>
          <w:rFonts w:hint="default" w:ascii="sans serif" w:hAnsi="sans serif" w:eastAsia="sans serif" w:cs="sans serif"/>
          <w:i w:val="0"/>
          <w:caps w:val="0"/>
          <w:spacing w:val="0"/>
          <w:sz w:val="18"/>
          <w:szCs w:val="18"/>
          <w:u w:val="single"/>
        </w:rPr>
        <w:t>双钳相位伏安表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r>
        <w:rPr>
          <w:rFonts w:hint="eastAsia"/>
          <w:lang w:val="en-US" w:eastAsia="zh-CN"/>
        </w:rPr>
        <w:br w:type="textWrapping"/>
      </w:r>
    </w:p>
    <w:sectPr>
      <w:pgSz w:w="11906" w:h="16838"/>
      <w:pgMar w:top="1440" w:right="1800" w:bottom="1440" w:left="1800" w:header="851" w:footer="992" w:gutter="0"/>
      <w:pgBorders w:offsetFrom="page">
        <w:top w:val="none" w:color="auto" w:sz="0" w:space="0"/>
        <w:left w:val="none" w:color="auto" w:sz="0" w:space="0"/>
        <w:bottom w:val="none" w:color="auto" w:sz="0" w:space="0"/>
        <w:right w:val="none" w:color="auto"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2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pple-system">
    <w:altName w:val="Segoe Print"/>
    <w:panose1 w:val="00000000000000000000"/>
    <w:charset w:val="00"/>
    <w:family w:val="auto"/>
    <w:pitch w:val="default"/>
    <w:sig w:usb0="00000000" w:usb1="00000000" w:usb2="00000000" w:usb3="00000000" w:csb0="00000000" w:csb1="00000000"/>
  </w:font>
  <w:font w:name="sans serif">
    <w:altName w:val="Segoe Print"/>
    <w:panose1 w:val="00000000000000000000"/>
    <w:charset w:val="00"/>
    <w:family w:val="auto"/>
    <w:pitch w:val="default"/>
    <w:sig w:usb0="00000000" w:usb1="00000000" w:usb2="00000000" w:usb3="00000000" w:csb0="00000000" w:csb1="00000000"/>
  </w:font>
  <w:font w:name="华文新魏">
    <w:panose1 w:val="02010800040101010101"/>
    <w:charset w:val="86"/>
    <w:family w:val="auto"/>
    <w:pitch w:val="default"/>
    <w:sig w:usb0="00000001" w:usb1="080F0000" w:usb2="00000000" w:usb3="00000000" w:csb0="00040000"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fixedsys">
    <w:altName w:val="Segoe Print"/>
    <w:panose1 w:val="00000000000000000000"/>
    <w:charset w:val="00"/>
    <w:family w:val="auto"/>
    <w:pitch w:val="default"/>
    <w:sig w:usb0="00000000" w:usb1="00000000" w:usb2="00000000" w:usb3="00000000" w:csb0="00000000" w:csb1="00000000"/>
  </w:font>
  <w:font w:name="仿宋_GB2312">
    <w:altName w:val="仿宋"/>
    <w:panose1 w:val="00000000000000000000"/>
    <w:charset w:val="86"/>
    <w:family w:val="auto"/>
    <w:pitch w:val="default"/>
    <w:sig w:usb0="00000000" w:usb1="00000000" w:usb2="00000010" w:usb3="00000000" w:csb0="00040000" w:csb1="00000000"/>
  </w:font>
  <w:font w:name="Cambria Math">
    <w:panose1 w:val="02040503050406030204"/>
    <w:charset w:val="00"/>
    <w:family w:val="auto"/>
    <w:pitch w:val="default"/>
    <w:sig w:usb0="E00006FF" w:usb1="420024FF" w:usb2="02000000" w:usb3="00000000" w:csb0="2000019F" w:csb1="00000000"/>
  </w:font>
  <w:font w:name="@宋体">
    <w:panose1 w:val="02010600030101010101"/>
    <w:charset w:val="86"/>
    <w:family w:val="auto"/>
    <w:pitch w:val="default"/>
    <w:sig w:usb0="00000203" w:usb1="288F0000" w:usb2="00000006" w:usb3="00000000" w:csb0="00040001" w:csb1="00000000"/>
  </w:font>
  <w:font w:name="@仿宋_GB2312">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 w:name="方正小标宋简体">
    <w:altName w:val="微软雅黑"/>
    <w:panose1 w:val="03000509000000000000"/>
    <w:charset w:val="86"/>
    <w:family w:val="auto"/>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隶书">
    <w:panose1 w:val="02010509060101010101"/>
    <w:charset w:val="86"/>
    <w:family w:val="auto"/>
    <w:pitch w:val="default"/>
    <w:sig w:usb0="00000001" w:usb1="080E0000" w:usb2="00000000" w:usb3="00000000" w:csb0="00040000" w:csb1="00000000"/>
  </w:font>
  <w:font w:name="幼圆">
    <w:panose1 w:val="02010509060101010101"/>
    <w:charset w:val="86"/>
    <w:family w:val="auto"/>
    <w:pitch w:val="default"/>
    <w:sig w:usb0="00000001" w:usb1="080E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Batang">
    <w:altName w:val="Malgun Gothic"/>
    <w:panose1 w:val="02030600000101010101"/>
    <w:charset w:val="81"/>
    <w:family w:val="auto"/>
    <w:pitch w:val="default"/>
    <w:sig w:usb0="00000000" w:usb1="00000000" w:usb2="00000030" w:usb3="00000000" w:csb0="4008009F" w:csb1="DFD70000"/>
  </w:font>
  <w:font w:name="Wingdings">
    <w:panose1 w:val="05000000000000000000"/>
    <w:charset w:val="00"/>
    <w:family w:val="auto"/>
    <w:pitch w:val="default"/>
    <w:sig w:usb0="00000000" w:usb1="00000000" w:usb2="00000000" w:usb3="00000000" w:csb0="80000000" w:csb1="00000000"/>
  </w:font>
  <w:font w:name="Bookshelf Symbol 7">
    <w:panose1 w:val="05010101010101010101"/>
    <w:charset w:val="02"/>
    <w:family w:val="auto"/>
    <w:pitch w:val="default"/>
    <w:sig w:usb0="00000000" w:usb1="00000000" w:usb2="00000000" w:usb3="00000000" w:csb0="80000000" w:csb1="00000000"/>
  </w:font>
  <w:font w:name="楷体_GB2312">
    <w:altName w:val="楷体"/>
    <w:panose1 w:val="02010609060101010101"/>
    <w:charset w:val="86"/>
    <w:family w:val="modern"/>
    <w:pitch w:val="default"/>
    <w:sig w:usb0="00000000" w:usb1="00000000" w:usb2="00000010" w:usb3="00000000" w:csb0="00040000" w:csb1="00000000"/>
  </w:font>
  <w:font w:name="Symbol">
    <w:panose1 w:val="05050102010706020507"/>
    <w:charset w:val="00"/>
    <w:family w:val="auto"/>
    <w:pitch w:val="default"/>
    <w:sig w:usb0="00000000" w:usb1="00000000" w:usb2="00000000" w:usb3="00000000" w:csb0="80000000" w:csb1="00000000"/>
  </w:font>
  <w:font w:name="Malgun Gothic">
    <w:panose1 w:val="020B0503020000020004"/>
    <w:charset w:val="81"/>
    <w:family w:val="auto"/>
    <w:pitch w:val="default"/>
    <w:sig w:usb0="9000002F" w:usb1="29D77CFB" w:usb2="00000012" w:usb3="00000000" w:csb0="00080001" w:csb1="00000000"/>
  </w:font>
  <w:font w:name="Verdana">
    <w:panose1 w:val="020B0604030504040204"/>
    <w:charset w:val="00"/>
    <w:family w:val="auto"/>
    <w:pitch w:val="default"/>
    <w:sig w:usb0="A00006FF" w:usb1="4000205B" w:usb2="00000010" w:usb3="00000000" w:csb0="2000019F" w:csb1="00000000"/>
  </w:font>
  <w:font w:name="Cambria Math">
    <w:panose1 w:val="02040503050406030204"/>
    <w:charset w:val="01"/>
    <w:family w:val="auto"/>
    <w:pitch w:val="default"/>
    <w:sig w:usb0="E00006FF" w:usb1="420024FF" w:usb2="02000000" w:usb3="00000000" w:csb0="2000019F" w:csb1="00000000"/>
  </w:font>
  <w:font w:name="@黑体">
    <w:panose1 w:val="02010609060101010101"/>
    <w:charset w:val="86"/>
    <w:family w:val="auto"/>
    <w:pitch w:val="default"/>
    <w:sig w:usb0="800002BF" w:usb1="38CF7CFA" w:usb2="00000016" w:usb3="00000000" w:csb0="00040001" w:csb1="00000000"/>
  </w:font>
  <w:font w:name="方正粗圆简体">
    <w:altName w:val="宋体"/>
    <w:panose1 w:val="02010601030101010101"/>
    <w:charset w:val="86"/>
    <w:family w:val="auto"/>
    <w:pitch w:val="default"/>
    <w:sig w:usb0="00000000" w:usb1="00000000" w:usb2="00000010" w:usb3="00000000" w:csb0="00040000" w:csb1="00000000"/>
  </w:font>
  <w:font w:name="Segoe UI">
    <w:panose1 w:val="020B0502040204020203"/>
    <w:charset w:val="00"/>
    <w:family w:val="swiss"/>
    <w:pitch w:val="default"/>
    <w:sig w:usb0="E4002EFF" w:usb1="C000E47F" w:usb2="00000009" w:usb3="00000000" w:csb0="200001FF" w:csb1="00000000"/>
  </w:font>
  <w:font w:name="SimHei-Identity-H">
    <w:altName w:val="宋体"/>
    <w:panose1 w:val="00000000000000000000"/>
    <w:charset w:val="86"/>
    <w:family w:val="auto"/>
    <w:pitch w:val="default"/>
    <w:sig w:usb0="00000000" w:usb1="00000000" w:usb2="00000010" w:usb3="00000000" w:csb0="00040000" w:csb1="00000000"/>
  </w:font>
  <w:font w:name="SimSun-Identity-H">
    <w:altName w:val="宋体"/>
    <w:panose1 w:val="00000000000000000000"/>
    <w:charset w:val="86"/>
    <w:family w:val="auto"/>
    <w:pitch w:val="default"/>
    <w:sig w:usb0="00000000" w:usb1="00000000" w:usb2="00000010" w:usb3="00000000" w:csb0="00040000" w:csb1="00000000"/>
  </w:font>
  <w:font w:name="方正舒体简体">
    <w:altName w:val="宋体"/>
    <w:panose1 w:val="02010601030101010101"/>
    <w:charset w:val="86"/>
    <w:family w:val="auto"/>
    <w:pitch w:val="default"/>
    <w:sig w:usb0="00000000" w:usb1="00000000" w:usb2="00000010" w:usb3="00000000" w:csb0="00040000" w:csb1="00000000"/>
  </w:font>
  <w:font w:name="PingFang SC">
    <w:altName w:val="Segoe Print"/>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00"/>
    <w:family w:val="auto"/>
    <w:pitch w:val="default"/>
    <w:sig w:usb0="00000000" w:usb1="00000000" w:usb2="00000000" w:usb3="00000000" w:csb0="00000000" w:csb1="00000000"/>
  </w:font>
  <w:font w:name="kaiti_gb2312">
    <w:altName w:val="Segoe Print"/>
    <w:panose1 w:val="00000000000000000000"/>
    <w:charset w:val="00"/>
    <w:family w:val="auto"/>
    <w:pitch w:val="default"/>
    <w:sig w:usb0="00000000" w:usb1="00000000" w:usb2="00000000" w:usb3="00000000" w:csb0="00000000" w:csb1="00000000"/>
  </w:font>
  <w:font w:name="΢���ź�">
    <w:altName w:val="Segoe Print"/>
    <w:panose1 w:val="00000000000000000000"/>
    <w:charset w:val="00"/>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 w:name="hiragino sans gb">
    <w:altName w:val="Segoe Print"/>
    <w:panose1 w:val="00000000000000000000"/>
    <w:charset w:val="00"/>
    <w:family w:val="auto"/>
    <w:pitch w:val="default"/>
    <w:sig w:usb0="00000000" w:usb1="00000000" w:usb2="00000000" w:usb3="00000000" w:csb0="00000000" w:csb1="00000000"/>
  </w:font>
  <w:font w:name="新宋体">
    <w:panose1 w:val="02010609030101010101"/>
    <w:charset w:val="86"/>
    <w:family w:val="auto"/>
    <w:pitch w:val="default"/>
    <w:sig w:usb0="00000203" w:usb1="288F0000" w:usb2="00000006" w:usb3="00000000" w:csb0="00040001" w:csb1="00000000"/>
  </w:font>
  <w:font w:name="font-size:10.5pt;">
    <w:altName w:val="Segoe Print"/>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Courier New">
    <w:panose1 w:val="02070309020205020404"/>
    <w:charset w:val="00"/>
    <w:family w:val="modern"/>
    <w:pitch w:val="default"/>
    <w:sig w:usb0="E0002EFF" w:usb1="C0007843" w:usb2="00000009" w:usb3="00000000" w:csb0="400001FF" w:csb1="FFFF0000"/>
  </w:font>
  <w:font w:name="Webdings">
    <w:panose1 w:val="05030102010509060703"/>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MS Gothic">
    <w:panose1 w:val="020B0609070205080204"/>
    <w:charset w:val="80"/>
    <w:family w:val="modern"/>
    <w:pitch w:val="default"/>
    <w:sig w:usb0="E00002FF" w:usb1="6AC7FDFB" w:usb2="08000012" w:usb3="00000000" w:csb0="4002009F" w:csb1="DFD70000"/>
  </w:font>
  <w:font w:name="方正小标宋简体">
    <w:altName w:val="Times New Roman"/>
    <w:panose1 w:val="00000000000000000000"/>
    <w:charset w:val="00"/>
    <w:family w:val="auto"/>
    <w:pitch w:val="default"/>
    <w:sig w:usb0="00000000" w:usb1="00000000" w:usb2="00000000" w:usb3="00000000" w:csb0="00040001" w:csb1="00000000"/>
  </w:font>
  <w:font w:name="MS Mincho">
    <w:panose1 w:val="02020609040205080304"/>
    <w:charset w:val="80"/>
    <w:family w:val="modern"/>
    <w:pitch w:val="default"/>
    <w:sig w:usb0="A00002BF" w:usb1="68C7FCFB" w:usb2="00000010" w:usb3="00000000" w:csb0="4002009F" w:csb1="DFD70000"/>
  </w:font>
  <w:font w:name="华文彩云">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Gulim">
    <w:altName w:val="Malgun Gothic"/>
    <w:panose1 w:val="020B0600000101010101"/>
    <w:charset w:val="81"/>
    <w:family w:val="auto"/>
    <w:pitch w:val="default"/>
    <w:sig w:usb0="00000000" w:usb1="00000000" w:usb2="00000030" w:usb3="00000000" w:csb0="4008009F" w:csb1="DFD70000"/>
  </w:font>
  <w:font w:name="Arial Unicode MS">
    <w:panose1 w:val="020B0604020202020204"/>
    <w:charset w:val="86"/>
    <w:family w:val="swiss"/>
    <w:pitch w:val="default"/>
    <w:sig w:usb0="FFFFFFFF" w:usb1="E9FFFFFF" w:usb2="0000003F" w:usb3="00000000" w:csb0="603F01FF" w:csb1="FFFF0000"/>
  </w:font>
  <w:font w:name="方正黑体简体">
    <w:altName w:val="Arial Unicode MS"/>
    <w:panose1 w:val="03000509000000000000"/>
    <w:charset w:val="86"/>
    <w:family w:val="auto"/>
    <w:pitch w:val="default"/>
    <w:sig w:usb0="00000000" w:usb1="00000000" w:usb2="00000000" w:usb3="00000000" w:csb0="00040000" w:csb1="00000000"/>
  </w:font>
  <w:font w:name="Comic Sans MS">
    <w:panose1 w:val="030F0702030302020204"/>
    <w:charset w:val="00"/>
    <w:family w:val="auto"/>
    <w:pitch w:val="default"/>
    <w:sig w:usb0="00000687" w:usb1="00000013"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3F2C49"/>
    <w:rsid w:val="00250417"/>
    <w:rsid w:val="00446DBF"/>
    <w:rsid w:val="007F0957"/>
    <w:rsid w:val="00A16BD1"/>
    <w:rsid w:val="00AB534A"/>
    <w:rsid w:val="00B6536A"/>
    <w:rsid w:val="0112299F"/>
    <w:rsid w:val="01495F3F"/>
    <w:rsid w:val="0152464D"/>
    <w:rsid w:val="018A318D"/>
    <w:rsid w:val="01C25F75"/>
    <w:rsid w:val="01FB5139"/>
    <w:rsid w:val="020F2F50"/>
    <w:rsid w:val="02A666C4"/>
    <w:rsid w:val="02F16411"/>
    <w:rsid w:val="03915F50"/>
    <w:rsid w:val="04360C6B"/>
    <w:rsid w:val="0457499A"/>
    <w:rsid w:val="04737EDE"/>
    <w:rsid w:val="04A9008B"/>
    <w:rsid w:val="057F5729"/>
    <w:rsid w:val="05AB0034"/>
    <w:rsid w:val="05C727F7"/>
    <w:rsid w:val="064B34E4"/>
    <w:rsid w:val="07586C5B"/>
    <w:rsid w:val="07747B10"/>
    <w:rsid w:val="077E7C7E"/>
    <w:rsid w:val="08014B21"/>
    <w:rsid w:val="08662EF0"/>
    <w:rsid w:val="08B10FE6"/>
    <w:rsid w:val="08BA4C0D"/>
    <w:rsid w:val="08CD2A62"/>
    <w:rsid w:val="08DC3C90"/>
    <w:rsid w:val="09B95E8A"/>
    <w:rsid w:val="0A04262E"/>
    <w:rsid w:val="0A171AA3"/>
    <w:rsid w:val="0A847FD9"/>
    <w:rsid w:val="0B497E0C"/>
    <w:rsid w:val="0B644DC8"/>
    <w:rsid w:val="0B854ABE"/>
    <w:rsid w:val="0C20439A"/>
    <w:rsid w:val="0C8201E1"/>
    <w:rsid w:val="0CD56E67"/>
    <w:rsid w:val="0CF8478C"/>
    <w:rsid w:val="0D632207"/>
    <w:rsid w:val="0E4912AA"/>
    <w:rsid w:val="0E591B23"/>
    <w:rsid w:val="0E9B3613"/>
    <w:rsid w:val="0EF616EB"/>
    <w:rsid w:val="0F3A32AC"/>
    <w:rsid w:val="0F5654D9"/>
    <w:rsid w:val="0FE07A2D"/>
    <w:rsid w:val="100E0EBA"/>
    <w:rsid w:val="1015242F"/>
    <w:rsid w:val="101C6AD5"/>
    <w:rsid w:val="103D23EA"/>
    <w:rsid w:val="109A27BA"/>
    <w:rsid w:val="10DB34AD"/>
    <w:rsid w:val="1186580A"/>
    <w:rsid w:val="11985582"/>
    <w:rsid w:val="11B0154A"/>
    <w:rsid w:val="11F601FB"/>
    <w:rsid w:val="12D40D00"/>
    <w:rsid w:val="137A0491"/>
    <w:rsid w:val="13AE7FC9"/>
    <w:rsid w:val="13E63D81"/>
    <w:rsid w:val="13F67B29"/>
    <w:rsid w:val="14091170"/>
    <w:rsid w:val="14BB58F0"/>
    <w:rsid w:val="15103977"/>
    <w:rsid w:val="158C4D76"/>
    <w:rsid w:val="15A05037"/>
    <w:rsid w:val="15D22175"/>
    <w:rsid w:val="16080FF1"/>
    <w:rsid w:val="16FD05DD"/>
    <w:rsid w:val="172F7B93"/>
    <w:rsid w:val="17855C5F"/>
    <w:rsid w:val="179D3619"/>
    <w:rsid w:val="17B41505"/>
    <w:rsid w:val="183948C8"/>
    <w:rsid w:val="18634A9B"/>
    <w:rsid w:val="1891612E"/>
    <w:rsid w:val="18B85CA0"/>
    <w:rsid w:val="18D92466"/>
    <w:rsid w:val="195F2A9B"/>
    <w:rsid w:val="19D7165A"/>
    <w:rsid w:val="19F91123"/>
    <w:rsid w:val="1A4F0789"/>
    <w:rsid w:val="1A7A3A35"/>
    <w:rsid w:val="1B190B52"/>
    <w:rsid w:val="1B941532"/>
    <w:rsid w:val="1C106974"/>
    <w:rsid w:val="1C2678A3"/>
    <w:rsid w:val="1C78310F"/>
    <w:rsid w:val="1CC82DE8"/>
    <w:rsid w:val="1CDC6F72"/>
    <w:rsid w:val="1D021065"/>
    <w:rsid w:val="1D332C8D"/>
    <w:rsid w:val="1D53627F"/>
    <w:rsid w:val="1D5B1BCD"/>
    <w:rsid w:val="1D7E17CE"/>
    <w:rsid w:val="1D9D4058"/>
    <w:rsid w:val="1DEE7D66"/>
    <w:rsid w:val="1E7A2EA8"/>
    <w:rsid w:val="1ED5547F"/>
    <w:rsid w:val="1F5956AC"/>
    <w:rsid w:val="1F6C7C66"/>
    <w:rsid w:val="1F853A8C"/>
    <w:rsid w:val="1F920D07"/>
    <w:rsid w:val="20382AD6"/>
    <w:rsid w:val="20393FB8"/>
    <w:rsid w:val="2063700F"/>
    <w:rsid w:val="20736480"/>
    <w:rsid w:val="211D19CB"/>
    <w:rsid w:val="21527290"/>
    <w:rsid w:val="215745DF"/>
    <w:rsid w:val="215E3F2C"/>
    <w:rsid w:val="22571C85"/>
    <w:rsid w:val="228D072B"/>
    <w:rsid w:val="22E61AAE"/>
    <w:rsid w:val="23640783"/>
    <w:rsid w:val="237A7C66"/>
    <w:rsid w:val="23CF627E"/>
    <w:rsid w:val="23EB08B0"/>
    <w:rsid w:val="246C4305"/>
    <w:rsid w:val="247935D5"/>
    <w:rsid w:val="24BD12D8"/>
    <w:rsid w:val="24F017CB"/>
    <w:rsid w:val="252C5F7E"/>
    <w:rsid w:val="258F659B"/>
    <w:rsid w:val="26251E0B"/>
    <w:rsid w:val="264B4605"/>
    <w:rsid w:val="26691AF1"/>
    <w:rsid w:val="27587D22"/>
    <w:rsid w:val="27935FBA"/>
    <w:rsid w:val="27B40A0C"/>
    <w:rsid w:val="282A771C"/>
    <w:rsid w:val="28381336"/>
    <w:rsid w:val="28385671"/>
    <w:rsid w:val="28685570"/>
    <w:rsid w:val="287E3546"/>
    <w:rsid w:val="28B91FCC"/>
    <w:rsid w:val="295C34FB"/>
    <w:rsid w:val="296931A3"/>
    <w:rsid w:val="298E061E"/>
    <w:rsid w:val="29B81322"/>
    <w:rsid w:val="29BF5FE0"/>
    <w:rsid w:val="29C22D5D"/>
    <w:rsid w:val="29EC39EA"/>
    <w:rsid w:val="29ED254D"/>
    <w:rsid w:val="2A474157"/>
    <w:rsid w:val="2B076A96"/>
    <w:rsid w:val="2B3935DA"/>
    <w:rsid w:val="2B954E40"/>
    <w:rsid w:val="2BB955DD"/>
    <w:rsid w:val="2BC44150"/>
    <w:rsid w:val="2C0F11A9"/>
    <w:rsid w:val="2CFF00DA"/>
    <w:rsid w:val="2D1F1DDD"/>
    <w:rsid w:val="2D562555"/>
    <w:rsid w:val="2DC07706"/>
    <w:rsid w:val="2DC838CD"/>
    <w:rsid w:val="2DEA68E8"/>
    <w:rsid w:val="2E19274E"/>
    <w:rsid w:val="2E310E7C"/>
    <w:rsid w:val="2E4544B7"/>
    <w:rsid w:val="2E5B05F4"/>
    <w:rsid w:val="2E875572"/>
    <w:rsid w:val="2EA02E36"/>
    <w:rsid w:val="2ED47EE2"/>
    <w:rsid w:val="2F767274"/>
    <w:rsid w:val="30123838"/>
    <w:rsid w:val="30DF2137"/>
    <w:rsid w:val="30F43B9D"/>
    <w:rsid w:val="31083742"/>
    <w:rsid w:val="31391E73"/>
    <w:rsid w:val="31B0158E"/>
    <w:rsid w:val="31B75928"/>
    <w:rsid w:val="323629D3"/>
    <w:rsid w:val="327413C4"/>
    <w:rsid w:val="32B67EE6"/>
    <w:rsid w:val="32C57898"/>
    <w:rsid w:val="32C62EB7"/>
    <w:rsid w:val="339F46D7"/>
    <w:rsid w:val="33BE0531"/>
    <w:rsid w:val="3479734C"/>
    <w:rsid w:val="34A74BA6"/>
    <w:rsid w:val="34D453D2"/>
    <w:rsid w:val="35407E57"/>
    <w:rsid w:val="358C3DBD"/>
    <w:rsid w:val="35922D63"/>
    <w:rsid w:val="35A8390D"/>
    <w:rsid w:val="35B74E34"/>
    <w:rsid w:val="36314AB3"/>
    <w:rsid w:val="37245CD4"/>
    <w:rsid w:val="3742768A"/>
    <w:rsid w:val="37AA01F6"/>
    <w:rsid w:val="3912093F"/>
    <w:rsid w:val="39B877B2"/>
    <w:rsid w:val="3A4D1599"/>
    <w:rsid w:val="3A5F2528"/>
    <w:rsid w:val="3A853BD1"/>
    <w:rsid w:val="3AC37689"/>
    <w:rsid w:val="3B090597"/>
    <w:rsid w:val="3B320086"/>
    <w:rsid w:val="3B8720F4"/>
    <w:rsid w:val="3BA23350"/>
    <w:rsid w:val="3BC25451"/>
    <w:rsid w:val="3C0E15C2"/>
    <w:rsid w:val="3C224556"/>
    <w:rsid w:val="3C324AD8"/>
    <w:rsid w:val="3C881BE5"/>
    <w:rsid w:val="3CDB5ECB"/>
    <w:rsid w:val="3CE94863"/>
    <w:rsid w:val="3CF82FE1"/>
    <w:rsid w:val="3D097BE0"/>
    <w:rsid w:val="3D6D0729"/>
    <w:rsid w:val="3DD22FCD"/>
    <w:rsid w:val="3E2147D6"/>
    <w:rsid w:val="3E23596D"/>
    <w:rsid w:val="3E6424FA"/>
    <w:rsid w:val="3E8C7983"/>
    <w:rsid w:val="3F1A0CC1"/>
    <w:rsid w:val="3F7C1CFA"/>
    <w:rsid w:val="40AE06AD"/>
    <w:rsid w:val="40C934F7"/>
    <w:rsid w:val="41FA3E92"/>
    <w:rsid w:val="420C5E8C"/>
    <w:rsid w:val="42116205"/>
    <w:rsid w:val="421D1B71"/>
    <w:rsid w:val="4246406B"/>
    <w:rsid w:val="42520FBC"/>
    <w:rsid w:val="429C4717"/>
    <w:rsid w:val="42BD3ED1"/>
    <w:rsid w:val="42CD4B6C"/>
    <w:rsid w:val="42F65F42"/>
    <w:rsid w:val="43292D36"/>
    <w:rsid w:val="43422568"/>
    <w:rsid w:val="43467877"/>
    <w:rsid w:val="434F54CC"/>
    <w:rsid w:val="43F22F65"/>
    <w:rsid w:val="44792562"/>
    <w:rsid w:val="44E96337"/>
    <w:rsid w:val="44F30DDA"/>
    <w:rsid w:val="45574AD9"/>
    <w:rsid w:val="4579642C"/>
    <w:rsid w:val="458735FA"/>
    <w:rsid w:val="45A469A4"/>
    <w:rsid w:val="45D527B2"/>
    <w:rsid w:val="46E446E3"/>
    <w:rsid w:val="46E616A0"/>
    <w:rsid w:val="4746189C"/>
    <w:rsid w:val="4746606E"/>
    <w:rsid w:val="477A3AB5"/>
    <w:rsid w:val="47854278"/>
    <w:rsid w:val="48074886"/>
    <w:rsid w:val="484164F3"/>
    <w:rsid w:val="484936BB"/>
    <w:rsid w:val="489C6348"/>
    <w:rsid w:val="48B017C1"/>
    <w:rsid w:val="48BA2140"/>
    <w:rsid w:val="48EC0C75"/>
    <w:rsid w:val="49635947"/>
    <w:rsid w:val="49E22EEB"/>
    <w:rsid w:val="49FB4F3E"/>
    <w:rsid w:val="4B4D6CA5"/>
    <w:rsid w:val="4B761462"/>
    <w:rsid w:val="4BE26387"/>
    <w:rsid w:val="4BE50D8A"/>
    <w:rsid w:val="4BEA04BD"/>
    <w:rsid w:val="4C605322"/>
    <w:rsid w:val="4C7466BD"/>
    <w:rsid w:val="4D1F0C94"/>
    <w:rsid w:val="4D2869C1"/>
    <w:rsid w:val="4D4624C1"/>
    <w:rsid w:val="4DCF4818"/>
    <w:rsid w:val="4E3069E2"/>
    <w:rsid w:val="4E921EAB"/>
    <w:rsid w:val="4F352C63"/>
    <w:rsid w:val="4F621063"/>
    <w:rsid w:val="4FAF6DC4"/>
    <w:rsid w:val="50B22544"/>
    <w:rsid w:val="510A7841"/>
    <w:rsid w:val="519D6F03"/>
    <w:rsid w:val="51A95EDA"/>
    <w:rsid w:val="526F5316"/>
    <w:rsid w:val="52717B6B"/>
    <w:rsid w:val="52727022"/>
    <w:rsid w:val="52C16061"/>
    <w:rsid w:val="52C30C8B"/>
    <w:rsid w:val="533F68EB"/>
    <w:rsid w:val="535972A1"/>
    <w:rsid w:val="542C4FC6"/>
    <w:rsid w:val="54A93B84"/>
    <w:rsid w:val="54D21846"/>
    <w:rsid w:val="54E64628"/>
    <w:rsid w:val="54F631C5"/>
    <w:rsid w:val="54F67D48"/>
    <w:rsid w:val="557F5118"/>
    <w:rsid w:val="55ED3DAE"/>
    <w:rsid w:val="56135102"/>
    <w:rsid w:val="56296D8D"/>
    <w:rsid w:val="563D2584"/>
    <w:rsid w:val="566D4185"/>
    <w:rsid w:val="56C07B54"/>
    <w:rsid w:val="56DA71F0"/>
    <w:rsid w:val="57983307"/>
    <w:rsid w:val="579B5BCE"/>
    <w:rsid w:val="57BB0176"/>
    <w:rsid w:val="57D46DF8"/>
    <w:rsid w:val="5843128C"/>
    <w:rsid w:val="58534479"/>
    <w:rsid w:val="586F2C2E"/>
    <w:rsid w:val="58FD1CE3"/>
    <w:rsid w:val="58FF726F"/>
    <w:rsid w:val="59176758"/>
    <w:rsid w:val="59963983"/>
    <w:rsid w:val="5A73151A"/>
    <w:rsid w:val="5AEC68A6"/>
    <w:rsid w:val="5BA259C7"/>
    <w:rsid w:val="5C070B64"/>
    <w:rsid w:val="5C1717AA"/>
    <w:rsid w:val="5C517919"/>
    <w:rsid w:val="5C762856"/>
    <w:rsid w:val="5CA84746"/>
    <w:rsid w:val="5D33139E"/>
    <w:rsid w:val="5D513F51"/>
    <w:rsid w:val="5DDD6ADD"/>
    <w:rsid w:val="5DDE53A2"/>
    <w:rsid w:val="5DF35D76"/>
    <w:rsid w:val="5E277C28"/>
    <w:rsid w:val="5E351ACF"/>
    <w:rsid w:val="5E3C4477"/>
    <w:rsid w:val="5EBA0DBC"/>
    <w:rsid w:val="5F345353"/>
    <w:rsid w:val="60550852"/>
    <w:rsid w:val="610E4408"/>
    <w:rsid w:val="6126307D"/>
    <w:rsid w:val="613152CA"/>
    <w:rsid w:val="6183239C"/>
    <w:rsid w:val="61987E2A"/>
    <w:rsid w:val="61B75D30"/>
    <w:rsid w:val="62101B36"/>
    <w:rsid w:val="62257568"/>
    <w:rsid w:val="62B7058F"/>
    <w:rsid w:val="62C42687"/>
    <w:rsid w:val="62E019A0"/>
    <w:rsid w:val="63293FB8"/>
    <w:rsid w:val="635E44AE"/>
    <w:rsid w:val="63756487"/>
    <w:rsid w:val="63A31FA4"/>
    <w:rsid w:val="64130E22"/>
    <w:rsid w:val="64133272"/>
    <w:rsid w:val="6421339C"/>
    <w:rsid w:val="643A19DC"/>
    <w:rsid w:val="64417F80"/>
    <w:rsid w:val="644316E4"/>
    <w:rsid w:val="652A01F2"/>
    <w:rsid w:val="65BA479F"/>
    <w:rsid w:val="65C375D5"/>
    <w:rsid w:val="66515270"/>
    <w:rsid w:val="668A6F30"/>
    <w:rsid w:val="66B94364"/>
    <w:rsid w:val="66CE66DF"/>
    <w:rsid w:val="66CE7923"/>
    <w:rsid w:val="673A64BA"/>
    <w:rsid w:val="68474994"/>
    <w:rsid w:val="68CD781F"/>
    <w:rsid w:val="69185026"/>
    <w:rsid w:val="692C4846"/>
    <w:rsid w:val="69366C55"/>
    <w:rsid w:val="693F2C49"/>
    <w:rsid w:val="69C839B0"/>
    <w:rsid w:val="69FB5767"/>
    <w:rsid w:val="6A3C0CCF"/>
    <w:rsid w:val="6B0D46C4"/>
    <w:rsid w:val="6B380D9B"/>
    <w:rsid w:val="6B546669"/>
    <w:rsid w:val="6C697DEB"/>
    <w:rsid w:val="6C6E4E0C"/>
    <w:rsid w:val="6D3A0687"/>
    <w:rsid w:val="6D817983"/>
    <w:rsid w:val="6E124F27"/>
    <w:rsid w:val="6E1409CB"/>
    <w:rsid w:val="6E1E1567"/>
    <w:rsid w:val="6E265F42"/>
    <w:rsid w:val="6E4D0837"/>
    <w:rsid w:val="6EE212ED"/>
    <w:rsid w:val="6EF62522"/>
    <w:rsid w:val="6F150EFA"/>
    <w:rsid w:val="6F6C6959"/>
    <w:rsid w:val="6F92638F"/>
    <w:rsid w:val="6F9D620C"/>
    <w:rsid w:val="6FBA0FFF"/>
    <w:rsid w:val="701E5541"/>
    <w:rsid w:val="704A7696"/>
    <w:rsid w:val="71AE59E8"/>
    <w:rsid w:val="720A10F7"/>
    <w:rsid w:val="723401D2"/>
    <w:rsid w:val="72436480"/>
    <w:rsid w:val="72983C11"/>
    <w:rsid w:val="72B17023"/>
    <w:rsid w:val="72C071F7"/>
    <w:rsid w:val="72F75301"/>
    <w:rsid w:val="72FD2C63"/>
    <w:rsid w:val="73513FFC"/>
    <w:rsid w:val="737B19EA"/>
    <w:rsid w:val="738E4EC9"/>
    <w:rsid w:val="74B530DC"/>
    <w:rsid w:val="74C2493E"/>
    <w:rsid w:val="74D13105"/>
    <w:rsid w:val="75544506"/>
    <w:rsid w:val="75735193"/>
    <w:rsid w:val="759E4F78"/>
    <w:rsid w:val="75A60DC0"/>
    <w:rsid w:val="75D87029"/>
    <w:rsid w:val="75F631D1"/>
    <w:rsid w:val="7614176A"/>
    <w:rsid w:val="761A635A"/>
    <w:rsid w:val="765A038A"/>
    <w:rsid w:val="76606303"/>
    <w:rsid w:val="766618A5"/>
    <w:rsid w:val="76C65281"/>
    <w:rsid w:val="7764488A"/>
    <w:rsid w:val="77C8144E"/>
    <w:rsid w:val="781C6525"/>
    <w:rsid w:val="78250F22"/>
    <w:rsid w:val="783223FC"/>
    <w:rsid w:val="788C753E"/>
    <w:rsid w:val="78DC1872"/>
    <w:rsid w:val="791651FE"/>
    <w:rsid w:val="7A336BBD"/>
    <w:rsid w:val="7A803345"/>
    <w:rsid w:val="7AEB0D1E"/>
    <w:rsid w:val="7BB536F3"/>
    <w:rsid w:val="7C5A0478"/>
    <w:rsid w:val="7CA85263"/>
    <w:rsid w:val="7D0D770C"/>
    <w:rsid w:val="7D42596B"/>
    <w:rsid w:val="7D6D6A6A"/>
    <w:rsid w:val="7E4A041A"/>
    <w:rsid w:val="7E5B779D"/>
    <w:rsid w:val="7E937121"/>
    <w:rsid w:val="7F8C0052"/>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4"/>
    <w:basedOn w:val="1"/>
    <w:next w:val="1"/>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6">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page number"/>
    <w:basedOn w:val="6"/>
    <w:uiPriority w:val="0"/>
  </w:style>
  <w:style w:type="character" w:styleId="9">
    <w:name w:val="FollowedHyperlink"/>
    <w:basedOn w:val="6"/>
    <w:qFormat/>
    <w:uiPriority w:val="0"/>
    <w:rPr>
      <w:color w:val="0066CC"/>
      <w:u w:val="none"/>
    </w:rPr>
  </w:style>
  <w:style w:type="character" w:styleId="10">
    <w:name w:val="Hyperlink"/>
    <w:basedOn w:val="6"/>
    <w:qFormat/>
    <w:uiPriority w:val="0"/>
    <w:rPr>
      <w:color w:val="0000FF"/>
      <w:u w:val="single"/>
    </w:rPr>
  </w:style>
  <w:style w:type="paragraph" w:customStyle="1" w:styleId="12">
    <w:name w:val="_Style 8"/>
    <w:basedOn w:val="1"/>
    <w:next w:val="1"/>
    <w:qFormat/>
    <w:uiPriority w:val="0"/>
    <w:pPr>
      <w:pBdr>
        <w:bottom w:val="single" w:color="auto" w:sz="6" w:space="1"/>
      </w:pBdr>
      <w:jc w:val="center"/>
    </w:pPr>
    <w:rPr>
      <w:rFonts w:ascii="Arial" w:eastAsia="宋体"/>
      <w:vanish/>
      <w:sz w:val="16"/>
    </w:rPr>
  </w:style>
  <w:style w:type="paragraph" w:customStyle="1" w:styleId="13">
    <w:name w:val="_Style 9"/>
    <w:basedOn w:val="1"/>
    <w:next w:val="1"/>
    <w:qFormat/>
    <w:uiPriority w:val="0"/>
    <w:pPr>
      <w:pBdr>
        <w:top w:val="single" w:color="auto" w:sz="6" w:space="1"/>
      </w:pBdr>
      <w:jc w:val="center"/>
    </w:pPr>
    <w:rPr>
      <w:rFonts w:ascii="Arial" w:eastAsia="宋体"/>
      <w:vanish/>
      <w:sz w:val="16"/>
    </w:rPr>
  </w:style>
  <w:style w:type="character" w:customStyle="1" w:styleId="14">
    <w:name w:val="unnamed1"/>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679</Words>
  <Characters>1071</Characters>
  <Lines>0</Lines>
  <Paragraphs>0</Paragraphs>
  <ScaleCrop>false</ScaleCrop>
  <LinksUpToDate>false</LinksUpToDate>
  <CharactersWithSpaces>1469</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2025-04-24T08:22:00Z</dcterms:created>
  <dc:creator>DELL</dc:creator>
  <cp:lastModifiedBy>DELL</cp:lastModifiedBy>
  <cp:lastPrinted>2025-10-10T06:55:00Z</cp:lastPrinted>
  <dcterms:modified xsi:type="dcterms:W3CDTF">2026-09-23T08:30:39Z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