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bookmarkStart w:id="8" w:name="_GoBack"/>
      <w:bookmarkStart w:id="0" w:name="OLE_LINK1"/>
      <w:bookmarkStart w:id="1" w:name="OLE_LINK4"/>
      <w:bookmarkStart w:id="2" w:name="OLE_LINK5"/>
      <w:bookmarkStart w:id="3" w:name="OLE_LINK2"/>
      <w:bookmarkStart w:id="4" w:name="OLE_LINK3"/>
      <w:bookmarkStart w:id="5" w:name="OLE_LINK6"/>
      <w:bookmarkStart w:id="6" w:name="OLE_LINK7"/>
      <w:bookmarkStart w:id="7" w:name="OLE_LINK8"/>
      <w:r>
        <w:rPr>
          <w:rFonts w:hint="eastAsia" w:asciiTheme="minorEastAsia" w:hAnsiTheme="minorEastAsia" w:eastAsiaTheme="minorEastAsia" w:cstheme="minorEastAsia"/>
          <w:b w:val="0"/>
          <w:bCs w:val="0"/>
          <w:sz w:val="21"/>
          <w:szCs w:val="21"/>
        </w:rPr>
        <w:t>SB2230A型直流数字电阻测试仪</w:t>
      </w:r>
      <w:r>
        <w:rPr>
          <w:rFonts w:hint="eastAsia" w:asciiTheme="minorEastAsia" w:hAnsiTheme="minorEastAsia" w:cstheme="minorEastAsia"/>
          <w:b w:val="0"/>
          <w:bCs w:val="0"/>
          <w:sz w:val="21"/>
          <w:szCs w:val="21"/>
          <w:lang w:val="en-US" w:eastAsia="zh-CN"/>
        </w:rPr>
        <w:t>技术指标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SB2230A型直流数字电阻测试仪是一种由单片微处理器、新型模数转换器(A/D)及精密直流恒流源与新颖设计理念和算法相结合所组成的便携式数字仪表，测量结果为5位LED数码 (红色)显示，测量范围允许过量程120%(0－24000)，且具有自动量程，可通过RS232通讯接口将测量结果发送到计算机(PC)处理，也可由计算机(PC)对仪表进行量程切换等操作。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该测试仪具有过量限测量、功耗低、可靠性好、价格低廉、使用及维护方便等优良性能，可用来测试各种直流电阻试品及小型电机、变压器的感性电阻(电感量较大时可选用本公司生产的4位半显示PC9A1 型数字微欧计或4位半显示交直流两用PC9A＋ 型数字微欧计进行测量)。本仪器可以广泛应用于工矿企业、实验室、大专院校等单位，是一台理想的直流电阻测量仪器。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使用环境温度：20±15℃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环境相对湿度：75%以下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供电电源：220V±10％，50Hz±1Hz</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量程、测量范围、分辨率、测试电流及基本误差：</w:t>
      </w:r>
    </w:p>
    <w:tbl>
      <w:tblPr>
        <w:tblStyle w:val="7"/>
        <w:tblW w:w="8280" w:type="dxa"/>
        <w:tblInd w:w="4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1260"/>
        <w:gridCol w:w="1800"/>
        <w:gridCol w:w="1260"/>
        <w:gridCol w:w="1546"/>
        <w:gridCol w:w="241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626" w:hRule="atLeast"/>
        </w:trPr>
        <w:tc>
          <w:tcPr>
            <w:tcW w:w="12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量程</w:t>
            </w:r>
          </w:p>
        </w:tc>
        <w:tc>
          <w:tcPr>
            <w:tcW w:w="18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测量范围</w:t>
            </w:r>
          </w:p>
        </w:tc>
        <w:tc>
          <w:tcPr>
            <w:tcW w:w="126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分辨率</w:t>
            </w:r>
          </w:p>
        </w:tc>
        <w:tc>
          <w:tcPr>
            <w:tcW w:w="1546"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最大测试电流</w:t>
            </w:r>
          </w:p>
        </w:tc>
        <w:tc>
          <w:tcPr>
            <w:tcW w:w="241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基本误差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535"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20mΩ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0-24.000mΩ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1µΩ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1A</w:t>
            </w:r>
          </w:p>
        </w:tc>
        <w:tc>
          <w:tcPr>
            <w:tcW w:w="2414"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±(0.05%读数+3个字)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443"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200mΩ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0-240.00mΩ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10µΩ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3"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0.1mΩ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0.1A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440"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10mA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default"/>
              </w:rPr>
            </w:pPr>
            <w:r>
              <w:rPr>
                <w:rFonts w:hint="eastAsia" w:ascii="宋体" w:hAnsi="宋体" w:eastAsia="宋体" w:cs="宋体"/>
                <w:caps w:val="0"/>
                <w:spacing w:val="0"/>
                <w:kern w:val="0"/>
                <w:sz w:val="24"/>
                <w:szCs w:val="24"/>
                <w:lang w:val="en-US" w:eastAsia="zh-CN" w:bidi="ar"/>
              </w:rPr>
              <w:t>±(0.05%读数+2个字)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200Ω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10mΩ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1mA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2000Ω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0.1Ω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left"/>
              <w:rPr>
                <w:rFonts w:hint="default"/>
              </w:rPr>
            </w:pPr>
            <w:r>
              <w:rPr>
                <w:rFonts w:hint="eastAsia" w:ascii="宋体" w:hAnsi="宋体" w:eastAsia="宋体" w:cs="宋体"/>
                <w:caps w:val="0"/>
                <w:spacing w:val="0"/>
                <w:kern w:val="0"/>
                <w:sz w:val="24"/>
                <w:szCs w:val="24"/>
                <w:lang w:val="en-US" w:eastAsia="zh-CN" w:bidi="ar"/>
              </w:rPr>
              <w:t>0.1mA</w:t>
            </w:r>
          </w:p>
        </w:tc>
        <w:tc>
          <w:tcPr>
            <w:tcW w:w="2414" w:type="dxa"/>
            <w:tcBorders>
              <w:top w:val="outset" w:color="auto" w:sz="6" w:space="0"/>
              <w:left w:val="nil"/>
              <w:bottom w:val="outset" w:color="auto" w:sz="6" w:space="0"/>
              <w:right w:val="outset" w:color="auto" w:sz="6" w:space="0"/>
            </w:tcBorders>
            <w:shd w:val="clear" w:color="auto" w:fill="FFFFFF" w:themeFill="background1"/>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caps w:val="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自动量程与手动量程功能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量程过载，测试电流开路指示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测试电流开路电压：4V</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采样速度：2－3次/s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通讯接口：RS-232C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消耗功率：不大于15W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重量：不大于2.0kg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外形尺寸：280×245×90 mm（长×宽×高)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bookmarkEnd w:id="0"/>
    <w:bookmarkEnd w:id="1"/>
    <w:bookmarkEnd w:id="2"/>
    <w:bookmarkEnd w:id="3"/>
    <w:bookmarkEnd w:id="4"/>
    <w:bookmarkEnd w:id="5"/>
    <w:bookmarkEnd w:id="6"/>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bookmarkEnd w:id="7"/>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bookmarkEnd w:id="8"/>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舒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17D3D"/>
    <w:rsid w:val="07E84C57"/>
    <w:rsid w:val="0D673EC3"/>
    <w:rsid w:val="10604332"/>
    <w:rsid w:val="129837D5"/>
    <w:rsid w:val="139F1EA0"/>
    <w:rsid w:val="194773B4"/>
    <w:rsid w:val="19CC673D"/>
    <w:rsid w:val="1B500C5C"/>
    <w:rsid w:val="1C402660"/>
    <w:rsid w:val="1C98591A"/>
    <w:rsid w:val="1DE82731"/>
    <w:rsid w:val="1F1368FD"/>
    <w:rsid w:val="1F980222"/>
    <w:rsid w:val="21EB16C3"/>
    <w:rsid w:val="237E24B9"/>
    <w:rsid w:val="297501DF"/>
    <w:rsid w:val="2C563E7C"/>
    <w:rsid w:val="315B43A1"/>
    <w:rsid w:val="334867B1"/>
    <w:rsid w:val="34C741D7"/>
    <w:rsid w:val="358E64C5"/>
    <w:rsid w:val="38241F6B"/>
    <w:rsid w:val="3B6C6725"/>
    <w:rsid w:val="47127887"/>
    <w:rsid w:val="4A5E2BEC"/>
    <w:rsid w:val="4C141BD8"/>
    <w:rsid w:val="4C1F0CED"/>
    <w:rsid w:val="4C3B408F"/>
    <w:rsid w:val="4D2B3768"/>
    <w:rsid w:val="4EAF64A0"/>
    <w:rsid w:val="55667D28"/>
    <w:rsid w:val="589A09B0"/>
    <w:rsid w:val="5F023D70"/>
    <w:rsid w:val="608F25AC"/>
    <w:rsid w:val="65105DF3"/>
    <w:rsid w:val="65EF3375"/>
    <w:rsid w:val="66643284"/>
    <w:rsid w:val="72432CE5"/>
    <w:rsid w:val="74D97D79"/>
    <w:rsid w:val="77217D3D"/>
    <w:rsid w:val="7C9F23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9"/>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table" w:styleId="8">
    <w:name w:val="Table Grid"/>
    <w:basedOn w:val="7"/>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正文文本 Char"/>
    <w:basedOn w:val="4"/>
    <w:link w:val="2"/>
    <w:uiPriority w:val="0"/>
    <w:rPr>
      <w:rFonts w:hint="default" w:ascii="Calibri" w:hAnsi="Calibri"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1127</Words>
  <Characters>1513</Characters>
  <Lines>0</Lines>
  <Paragraphs>0</Paragraphs>
  <ScaleCrop>false</ScaleCrop>
  <LinksUpToDate>false</LinksUpToDate>
  <CharactersWithSpaces>1526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2025-07-24T03:37:00Z</dcterms:created>
  <dc:creator>DELL</dc:creator>
  <cp:lastModifiedBy>DELL</cp:lastModifiedBy>
  <dcterms:modified xsi:type="dcterms:W3CDTF">2025-08-22T06:48:41Z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